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Freedom-to-Operate Analysis</w:t>
      </w:r>
    </w:p>
    <w:p>
      <w:r>
        <w:t>Privileged and Confidential: Attorney-Client Communication</w:t>
      </w:r>
    </w:p>
    <w:p>
      <w:r>
        <w:t>Prepared for Middleton, Sullivan and Wiley by Richard Henderson, Patent Agent. Responsible partner: Heather Munoz.</w:t>
      </w:r>
    </w:p>
    <w:p>
      <w:pPr>
        <w:pStyle w:val="Heading2"/>
      </w:pPr>
      <w:r>
        <w:t>1. Where the Analysis Stands</w:t>
      </w:r>
    </w:p>
    <w:p>
      <w:r>
        <w:t>The analysis is at its midpoint, on schedule, and within budget. Screening is finished. Claim charts for the first group of short-listed patents are drafted and are with Heather Munoz for review.</w:t>
      </w:r>
    </w:p>
    <w:p>
      <w:r>
        <w:t>No conclusion has been reached on any patent. Conclusions belong in the final memorandum, after partner review. Nothing in this report should be read as one.</w:t>
      </w:r>
    </w:p>
    <w:p>
      <w:pPr>
        <w:pStyle w:val="Heading2"/>
      </w:pPr>
      <w:r>
        <w:t>2. Work Completed</w:t>
      </w:r>
    </w:p>
    <w:p>
      <w:r>
        <w:t>The following items are complete as of this report.</w:t>
      </w:r>
    </w:p>
    <w:p>
      <w:pPr>
        <w:pStyle w:val="ListBullet"/>
      </w:pPr>
      <w:r>
        <w:t>Search of issued patents and published applications directed at the products identified for clearance.</w:t>
      </w:r>
    </w:p>
    <w:p>
      <w:pPr>
        <w:pStyle w:val="ListBullet"/>
      </w:pPr>
      <w:r>
        <w:t>Screening of the search results in stages, ending in a short list grouped by patent family. The short list was reviewed and agreed at the working session with your team.</w:t>
      </w:r>
    </w:p>
    <w:p>
      <w:pPr>
        <w:pStyle w:val="ListBullet"/>
      </w:pPr>
      <w:r>
        <w:t>File histories obtained for every short-listed patent. Kelly Snyder has read each one for amendments and arguments that narrow how the claims can be read.</w:t>
      </w:r>
    </w:p>
    <w:p>
      <w:pPr>
        <w:pStyle w:val="ListBullet"/>
      </w:pPr>
      <w:r>
        <w:t>A watch list of pending applications, each entered on the firm's docket for regular status checks.</w:t>
      </w:r>
    </w:p>
    <w:p>
      <w:pPr>
        <w:pStyle w:val="ListBullet"/>
      </w:pPr>
      <w:r>
        <w:t>Claim charts for the first group of short-listed patents. Each chart sets every element of the independent claims beside the corresponding feature of the product, or records that the product has no such feature.</w:t>
      </w:r>
    </w:p>
    <w:p>
      <w:pPr>
        <w:pStyle w:val="Heading3"/>
      </w:pPr>
      <w:r>
        <w:t>How the Charts Are Built</w:t>
      </w:r>
    </w:p>
    <w:p>
      <w:r>
        <w:t>Each independent claim is charted on its own, because the independent claims of one patent can differ in scope. A dependent claim is charted only where the claim it rests on appears to read on the product. Every chart cites the column and line of the specification it relies on, and the file history where an amendment or argument limits a term.</w:t>
      </w:r>
    </w:p>
    <w:p>
      <w:pPr>
        <w:pStyle w:val="Heading2"/>
      </w:pPr>
      <w:r>
        <w:t>3. Work for the Coming Period</w:t>
      </w:r>
    </w:p>
    <w:p>
      <w:r>
        <w:t>The order below follows the ranking agreed at the working session. The name after each item is the person responsible for it.</w:t>
      </w:r>
    </w:p>
    <w:p>
      <w:pPr>
        <w:pStyle w:val="ListBullet"/>
      </w:pPr>
      <w:r>
        <w:t>Claim charts for the remaining short-listed patents. Richard Henderson.</w:t>
      </w:r>
    </w:p>
    <w:p>
      <w:pPr>
        <w:pStyle w:val="ListBullet"/>
      </w:pPr>
      <w:r>
        <w:t>Review of prior art for any patent where every element of a claim appears to be present in the product. The purpose is to see whether a validity position is available. Richard Henderson, with Kelly Snyder.</w:t>
      </w:r>
    </w:p>
    <w:p>
      <w:pPr>
        <w:pStyle w:val="ListBullet"/>
      </w:pPr>
      <w:r>
        <w:t>Notes on design alternatives where a claim element corresponds to a feature your engineering team may be able to change. These notes will be written in engineering terms, not claim language. Richard Henderson.</w:t>
      </w:r>
    </w:p>
    <w:p>
      <w:pPr>
        <w:pStyle w:val="ListBullet"/>
      </w:pPr>
      <w:r>
        <w:t>Partner review of each chart before it is sent to you. Heather Munoz.</w:t>
      </w:r>
    </w:p>
    <w:p>
      <w:pPr>
        <w:pStyle w:val="ListBullet"/>
      </w:pPr>
      <w:r>
        <w:t>Continued status checks on the watch list. Kelly Snyder.</w:t>
      </w:r>
    </w:p>
    <w:p>
      <w:pPr>
        <w:pStyle w:val="Heading2"/>
      </w:pPr>
      <w:r>
        <w:t>4. Budget</w:t>
      </w:r>
    </w:p>
    <w:p>
      <w:r>
        <w:t>The engagement budget is $113,500. Time recorded to date is within the portion of the budget planned for screening and the first charts, and we do not expect to ask for a change.</w:t>
      </w:r>
    </w:p>
    <w:p>
      <w:r>
        <w:t>The items in section 5 are the ones that could alter that. If any of them begins to affect cost, we will raise it with you before the time is spent.</w:t>
      </w:r>
    </w:p>
    <w:p>
      <w:pPr>
        <w:pStyle w:val="Heading2"/>
      </w:pPr>
      <w:r>
        <w:t>5. Risks</w:t>
      </w:r>
    </w:p>
    <w:p>
      <w:r>
        <w:t>Each risk is listed with what is being done about it.</w:t>
      </w:r>
    </w:p>
    <w:p>
      <w:pPr>
        <w:pStyle w:val="ListBullet"/>
      </w:pPr>
      <w:r>
        <w:t>Pending applications. A pending application can issue with claims broader than those published. The watch list reduces this risk but cannot remove it. The memorandum will state the date as of which it speaks.</w:t>
      </w:r>
    </w:p>
    <w:p>
      <w:pPr>
        <w:pStyle w:val="ListBullet"/>
      </w:pPr>
      <w:r>
        <w:t>Design changes. The charts are read against the product description your team confirmed. A change to a charted feature means that chart must be read again. Please tell us of a proposed change as soon as it is under consideration.</w:t>
      </w:r>
    </w:p>
    <w:p>
      <w:pPr>
        <w:pStyle w:val="ListBullet"/>
      </w:pPr>
      <w:r>
        <w:t>File history length. Some short-listed patents have long prosecution records. Kelly Snyder has flagged their review as the largest open item in the time estimate. We will report if it moves.</w:t>
      </w:r>
    </w:p>
    <w:p>
      <w:pPr>
        <w:pStyle w:val="ListBullet"/>
      </w:pPr>
      <w:r>
        <w:t>Claim terms. Some claim terms have no settled meaning. Where a term could be read more than one way, the memorandum will say so and give a view under each reading.</w:t>
      </w:r>
    </w:p>
    <w:p>
      <w:pPr>
        <w:pStyle w:val="ListBullet"/>
      </w:pPr>
      <w:r>
        <w:t>Related filings. A short-listed family may have a continuation still pending, which can issue with new claims. Any such continuation is on the watch list, and the memorandum will identify each one.</w:t>
      </w:r>
    </w:p>
    <w:p>
      <w:pPr>
        <w:pStyle w:val="Heading2"/>
      </w:pPr>
      <w:r>
        <w:t>6. Requests</w:t>
      </w:r>
    </w:p>
    <w:p>
      <w:r>
        <w:t>The charts are only reliable if the product description behind them is current. Please confirm that the description approved at the working session still matches the design. Please also name an engineering contact who can answer feature questions as the remaining charts are drafted.</w:t>
      </w:r>
    </w:p>
    <w:p>
      <w:pPr>
        <w:pStyle w:val="Heading2"/>
      </w:pPr>
      <w:r>
        <w:t>7. Contacts</w:t>
      </w:r>
    </w:p>
    <w:p>
      <w:r>
        <w:t>Questions about the search or the charts can come to me. Questions about legal conclusions should go to Heather Munoz. Kelly Snyder holds the watch list and the file histories, and can answer questions on either.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Freedom-to-Operate Analysis for Middleton, Sullivan and Wiley</dc:title>
  <dc:subject/>
  <dc:creator>Richard Henderson</dc:creator>
  <cp:keywords/>
  <dc:description>generated by python-docx</dc:description>
  <cp:lastModifiedBy>Richard Henderson</cp:lastModifiedBy>
  <cp:revision>1</cp:revision>
  <dcterms:created xsi:type="dcterms:W3CDTF">2020-09-17T09:00:00Z</dcterms:created>
  <dcterms:modified xsi:type="dcterms:W3CDTF">2020-09-17T09:00:00Z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