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Freedom-to-Operate Analysis: Status Report</w:t>
      </w:r>
    </w:p>
    <w:p>
      <w:r>
        <w:t>Privileged and Confidential: Attorney-Client Communication</w:t>
      </w:r>
    </w:p>
    <w:p>
      <w:r>
        <w:t>Client: Middleton, Sullivan and Wiley. Prepared by Richard Henderson, Patent Agent. Team: Heather Munoz, Partner; Kelly Snyder, Associate.</w:t>
      </w:r>
    </w:p>
    <w:p>
      <w:pPr>
        <w:pStyle w:val="Heading2"/>
      </w:pPr>
      <w:r>
        <w:t>Summary</w:t>
      </w:r>
    </w:p>
    <w:p>
      <w:r>
        <w:t>The analysis is substantively complete. The draft memorandum is written and is with Heather Munoz for final review. What remains is her review, delivery of the signed memorandum, and a closing call to go through the conclusions.</w:t>
      </w:r>
    </w:p>
    <w:p>
      <w:r>
        <w:t>The memorandum states a view on each patent on the short list, with the reasons for it. Each view is qualified. None should be repeated outside the memorandum without its qualifications.</w:t>
      </w:r>
    </w:p>
    <w:p>
      <w:pPr>
        <w:pStyle w:val="Heading2"/>
      </w:pPr>
      <w:r>
        <w:t>Progress Since the Last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Notes</w:t>
            </w:r>
          </w:p>
        </w:tc>
      </w:tr>
      <w:tr>
        <w:tc>
          <w:tcPr>
            <w:tcW w:type="dxa" w:w="2880"/>
          </w:tcPr>
          <w:p>
            <w:r>
              <w:t>Claim charts</w:t>
            </w:r>
          </w:p>
        </w:tc>
        <w:tc>
          <w:tcPr>
            <w:tcW w:type="dxa" w:w="2880"/>
          </w:tcPr>
          <w:p>
            <w:r>
              <w:t>Complete</w:t>
            </w:r>
          </w:p>
        </w:tc>
        <w:tc>
          <w:tcPr>
            <w:tcW w:type="dxa" w:w="2880"/>
          </w:tcPr>
          <w:p>
            <w:r>
              <w:t>Every short-listed patent is now charted against the confirmed product description.</w:t>
            </w:r>
          </w:p>
        </w:tc>
      </w:tr>
      <w:tr>
        <w:tc>
          <w:tcPr>
            <w:tcW w:type="dxa" w:w="2880"/>
          </w:tcPr>
          <w:p>
            <w:r>
              <w:t>Validity review</w:t>
            </w:r>
          </w:p>
        </w:tc>
        <w:tc>
          <w:tcPr>
            <w:tcW w:type="dxa" w:w="2880"/>
          </w:tcPr>
          <w:p>
            <w:r>
              <w:t>Complete</w:t>
            </w:r>
          </w:p>
        </w:tc>
        <w:tc>
          <w:tcPr>
            <w:tcW w:type="dxa" w:w="2880"/>
          </w:tcPr>
          <w:p>
            <w:r>
              <w:t>Prior art was reviewed for the family held for separate treatment at the last working session. The findings are in the draft memorandum.</w:t>
            </w:r>
          </w:p>
        </w:tc>
      </w:tr>
      <w:tr>
        <w:tc>
          <w:tcPr>
            <w:tcW w:type="dxa" w:w="2880"/>
          </w:tcPr>
          <w:p>
            <w:r>
              <w:t>Design alternatives</w:t>
            </w:r>
          </w:p>
        </w:tc>
        <w:tc>
          <w:tcPr>
            <w:tcW w:type="dxa" w:w="2880"/>
          </w:tcPr>
          <w:p>
            <w:r>
              <w:t>Complete</w:t>
            </w:r>
          </w:p>
        </w:tc>
        <w:tc>
          <w:tcPr>
            <w:tcW w:type="dxa" w:w="2880"/>
          </w:tcPr>
          <w:p>
            <w:r>
              <w:t>The engineering note went to your team. Their answer on the feature change is reflected in the draft.</w:t>
            </w:r>
          </w:p>
        </w:tc>
      </w:tr>
      <w:tr>
        <w:tc>
          <w:tcPr>
            <w:tcW w:type="dxa" w:w="2880"/>
          </w:tcPr>
          <w:p>
            <w:r>
              <w:t>File histories</w:t>
            </w:r>
          </w:p>
        </w:tc>
        <w:tc>
          <w:tcPr>
            <w:tcW w:type="dxa" w:w="2880"/>
          </w:tcPr>
          <w:p>
            <w:r>
              <w:t>Complete</w:t>
            </w:r>
          </w:p>
        </w:tc>
        <w:tc>
          <w:tcPr>
            <w:tcW w:type="dxa" w:w="2880"/>
          </w:tcPr>
          <w:p>
            <w:r>
              <w:t>Kelly Snyder's review of the prosecution records is built into each chart.</w:t>
            </w:r>
          </w:p>
        </w:tc>
      </w:tr>
      <w:tr>
        <w:tc>
          <w:tcPr>
            <w:tcW w:type="dxa" w:w="2880"/>
          </w:tcPr>
          <w:p>
            <w:r>
              <w:t>Watch list</w:t>
            </w:r>
          </w:p>
        </w:tc>
        <w:tc>
          <w:tcPr>
            <w:tcW w:type="dxa" w:w="2880"/>
          </w:tcPr>
          <w:p>
            <w:r>
              <w:t>Current</w:t>
            </w:r>
          </w:p>
        </w:tc>
        <w:tc>
          <w:tcPr>
            <w:tcW w:type="dxa" w:w="2880"/>
          </w:tcPr>
          <w:p>
            <w:r>
              <w:t>The status of each pending application was rechecked and the docket updated.</w:t>
            </w:r>
          </w:p>
        </w:tc>
      </w:tr>
      <w:tr>
        <w:tc>
          <w:tcPr>
            <w:tcW w:type="dxa" w:w="2880"/>
          </w:tcPr>
          <w:p>
            <w:r>
              <w:t>Draft memorandum</w:t>
            </w:r>
          </w:p>
        </w:tc>
        <w:tc>
          <w:tcPr>
            <w:tcW w:type="dxa" w:w="2880"/>
          </w:tcPr>
          <w:p>
            <w:r>
              <w:t>In partner review</w:t>
            </w:r>
          </w:p>
        </w:tc>
        <w:tc>
          <w:tcPr>
            <w:tcW w:type="dxa" w:w="2880"/>
          </w:tcPr>
          <w:p>
            <w:r>
              <w:t>With Heather Munoz.</w:t>
            </w:r>
          </w:p>
        </w:tc>
      </w:tr>
    </w:tbl>
    <w:p>
      <w:pPr>
        <w:pStyle w:val="Heading2"/>
      </w:pPr>
      <w:r>
        <w:t>Contents of the Memorandum</w:t>
      </w:r>
    </w:p>
    <w:p>
      <w:r>
        <w:t>The draft is arranged in the following order.</w:t>
      </w:r>
    </w:p>
    <w:p>
      <w:pPr>
        <w:pStyle w:val="ListBullet"/>
      </w:pPr>
      <w:r>
        <w:t>A short summary at the front, carrying the same qualifications and privilege marking as the body.</w:t>
      </w:r>
    </w:p>
    <w:p>
      <w:pPr>
        <w:pStyle w:val="ListBullet"/>
      </w:pPr>
      <w:r>
        <w:t>The product description relied on, as confirmed by your team.</w:t>
      </w:r>
    </w:p>
    <w:p>
      <w:pPr>
        <w:pStyle w:val="ListBullet"/>
      </w:pPr>
      <w:r>
        <w:t>The search and screening method, and the scope of the search.</w:t>
      </w:r>
    </w:p>
    <w:p>
      <w:pPr>
        <w:pStyle w:val="ListBullet"/>
      </w:pPr>
      <w:r>
        <w:t>A view on each short-listed patent, grouped by family, with the claim charts attached.</w:t>
      </w:r>
    </w:p>
    <w:p>
      <w:pPr>
        <w:pStyle w:val="ListBullet"/>
      </w:pPr>
      <w:r>
        <w:t>Separate treatment of the family held for validity review, setting out the non-infringement and validity positions on their own terms.</w:t>
      </w:r>
    </w:p>
    <w:p>
      <w:pPr>
        <w:pStyle w:val="ListBullet"/>
      </w:pPr>
      <w:r>
        <w:t>The design alternative discussed with your engineering team, and their answer.</w:t>
      </w:r>
    </w:p>
    <w:p>
      <w:pPr>
        <w:pStyle w:val="ListBullet"/>
      </w:pPr>
      <w:r>
        <w:t>The watch list of pending applications, including pending continuations in short-listed families.</w:t>
      </w:r>
    </w:p>
    <w:p>
      <w:pPr>
        <w:pStyle w:val="ListBullet"/>
      </w:pPr>
      <w:r>
        <w:t>The qualifications that apply to every view in the memorandum.</w:t>
      </w:r>
    </w:p>
    <w:p>
      <w:pPr>
        <w:pStyle w:val="Heading2"/>
      </w:pPr>
      <w:r>
        <w:t>Remaining Steps</w:t>
      </w:r>
    </w:p>
    <w:p>
      <w:pPr>
        <w:pStyle w:val="ListBullet"/>
      </w:pPr>
      <w:r>
        <w:t>Incorporate Heather Munoz's review comments into the draft. Richard Henderson.</w:t>
      </w:r>
    </w:p>
    <w:p>
      <w:pPr>
        <w:pStyle w:val="ListBullet"/>
      </w:pPr>
      <w:r>
        <w:t>Sign and deliver the final memorandum, marked privileged. Heather Munoz.</w:t>
      </w:r>
    </w:p>
    <w:p>
      <w:pPr>
        <w:pStyle w:val="ListBullet"/>
      </w:pPr>
      <w:r>
        <w:t>Hold a closing call to take you through each conclusion and the qualifications attached to it. Heather Munoz and Richard Henderson. We suggest that those who will act on the conclusions attend.</w:t>
      </w:r>
    </w:p>
    <w:p>
      <w:pPr>
        <w:pStyle w:val="ListBullet"/>
      </w:pPr>
      <w:r>
        <w:t>Hand over the watch list, with the status of each pending application as of delivery. Kelly Snyder.</w:t>
      </w:r>
    </w:p>
    <w:p>
      <w:pPr>
        <w:pStyle w:val="Heading2"/>
      </w:pPr>
      <w:r>
        <w:t>Budget</w:t>
      </w:r>
    </w:p>
    <w:p>
      <w:r>
        <w:t>The work described in this report has been done within the engagement budget of $113,500. The remaining steps are covered by it.</w:t>
      </w:r>
    </w:p>
    <w:p>
      <w:r>
        <w:t>The file histories and the validity review took the most time in this period, as the last report expected. Both stayed within the estimate.</w:t>
      </w:r>
    </w:p>
    <w:p>
      <w:r>
        <w:t>Monitoring the watch list after delivery is not part of the current engagement. If you want it continued, that is a separate discussion. Nothing will be docketed for it without your instruction.</w:t>
      </w:r>
    </w:p>
    <w:p>
      <w:pPr>
        <w:pStyle w:val="Heading2"/>
      </w:pPr>
      <w:r>
        <w:t>Limits of the Analysis</w:t>
      </w:r>
    </w:p>
    <w:p>
      <w:r>
        <w:t>These limits will also appear in the memorandum. They are set out here so that they are read first.</w:t>
      </w:r>
    </w:p>
    <w:p>
      <w:pPr>
        <w:pStyle w:val="ListBullet"/>
      </w:pPr>
      <w:r>
        <w:t>Date. The memorandum speaks as of its date. A patent that issues afterwards, including one from the watch list, is not covered.</w:t>
      </w:r>
    </w:p>
    <w:p>
      <w:pPr>
        <w:pStyle w:val="ListBullet"/>
      </w:pPr>
      <w:r>
        <w:t>Product description. The conclusions rest on the product description your team confirmed. A change to a charted feature should come back to us before the changed product is released.</w:t>
      </w:r>
    </w:p>
    <w:p>
      <w:pPr>
        <w:pStyle w:val="ListBullet"/>
      </w:pPr>
      <w:r>
        <w:t>Claim terms. Where a claim term could reasonably be read more than one way, the memorandum gives a view under each reading. A court is not bound by either.</w:t>
      </w:r>
    </w:p>
    <w:p>
      <w:pPr>
        <w:pStyle w:val="ListBullet"/>
      </w:pPr>
      <w:r>
        <w:t>Privilege. The memorandum is a privileged communication. Within Middleton, Sullivan and Wiley it should go only to those who need it to make decisions. Sharing it with anyone outside may waive privilege.</w:t>
      </w:r>
    </w:p>
    <w:p>
      <w:pPr>
        <w:pStyle w:val="Heading2"/>
      </w:pPr>
      <w:r>
        <w:t>Before the Closing Call</w:t>
      </w:r>
    </w:p>
    <w:p>
      <w:r>
        <w:t>The conclusions are tied to the design as your engineering team last described it. Please confirm that no charted feature has changed since their answer on the feature change. If one has, the affected chart will be read again before the memorandum is signed.</w:t>
      </w:r>
    </w:p>
    <w:p>
      <w:r>
        <w:t>Please also send the names of those who will attend the closing call, so that the invitation and the memorandum go only to them.</w:t>
      </w:r>
    </w:p>
    <w:p>
      <w:pPr>
        <w:pStyle w:val="Heading2"/>
      </w:pPr>
      <w:r>
        <w:t>Contacts</w:t>
      </w:r>
    </w:p>
    <w:p>
      <w:r>
        <w:t>Questions about the charts or the prior art can come to me. Questions about the conclusions should go to Heather Munoz. Kelly Snyder holds the watch list until it is handed over.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Freedom-to-Operate Analysis for Middleton, Sullivan and Wiley</dc:title>
  <dc:subject/>
  <dc:creator>Richard Henderson</dc:creator>
  <cp:keywords/>
  <dc:description>generated by python-docx</dc:description>
  <cp:lastModifiedBy>Richard Henderson</cp:lastModifiedBy>
  <cp:revision>1</cp:revision>
  <dcterms:created xsi:type="dcterms:W3CDTF">2021-01-15T09:00:00Z</dcterms:created>
  <dcterms:modified xsi:type="dcterms:W3CDTF">2021-01-15T09:00:00Z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