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Working Session</w:t>
      </w:r>
    </w:p>
    <w:p>
      <w:r>
        <w:t>Freedom-to-Operate Analysis for Middleton, Sullivan and Wiley. Held by video conference. Recorded by Heather Munoz.</w:t>
      </w:r>
    </w:p>
    <w:p>
      <w:pPr>
        <w:pStyle w:val="Heading2"/>
      </w:pPr>
      <w:r>
        <w:t>Attendees</w:t>
      </w:r>
    </w:p>
    <w:p>
      <w:pPr>
        <w:pStyle w:val="ListBullet"/>
      </w:pPr>
      <w:r>
        <w:t>Barbara Blair, Director of Operations, Middleton, Sullivan and Wiley</w:t>
      </w:r>
    </w:p>
    <w:p>
      <w:pPr>
        <w:pStyle w:val="ListBullet"/>
      </w:pPr>
      <w:r>
        <w:t>Heather Munoz, Partner</w:t>
      </w:r>
    </w:p>
    <w:p>
      <w:pPr>
        <w:pStyle w:val="ListBullet"/>
      </w:pPr>
      <w:r>
        <w:t>Richard Henderson, Patent Agent</w:t>
      </w:r>
    </w:p>
    <w:p>
      <w:pPr>
        <w:pStyle w:val="ListBullet"/>
      </w:pPr>
      <w:r>
        <w:t>Kelly Snyder, Associate</w:t>
      </w:r>
    </w:p>
    <w:p>
      <w:pPr>
        <w:pStyle w:val="Heading2"/>
      </w:pPr>
      <w:r>
        <w:t>Outcome</w:t>
      </w:r>
    </w:p>
    <w:p>
      <w:r>
        <w:t>Screening is complete. The meeting agreed the short list of third-party patents that will go to full claim review, and the order in which they will be reviewed. No change to scope was requested.</w:t>
      </w:r>
    </w:p>
    <w:p>
      <w:pPr>
        <w:pStyle w:val="Heading2"/>
      </w:pPr>
      <w:r>
        <w:t>Discussion</w:t>
      </w:r>
    </w:p>
    <w:p>
      <w:r>
        <w:t>1. Screening results. Richard Henderson reported that most search results were set aside at the abstract or independent-claim stage. Those that remain are grouped by patent family on the short list.</w:t>
      </w:r>
    </w:p>
    <w:p>
      <w:r>
        <w:t>Barbara Blair asked how a patent earns a place on the list. Richard Henderson explained that it stays on if any claim could be read on a feature of the product as described. A place on the list says nothing yet about risk.</w:t>
      </w:r>
    </w:p>
    <w:p>
      <w:r>
        <w:t>2. Product description. Barbara Blair confirmed that the description used for screening matches the current design. She will tell us of any change to a short-listed feature while the claim review is open.</w:t>
      </w:r>
    </w:p>
    <w:p>
      <w:r>
        <w:t>3. Pending applications. Kelly Snyder explained that a published application cannot be cleared the way an issued patent can, because its claims may still change before grant. Each pending application of interest will go on a watch list, with status checks entered on the docket.</w:t>
      </w:r>
    </w:p>
    <w:p>
      <w:r>
        <w:t>4. File histories. Kelly Snyder will obtain the prosecution record for every short-listed patent. Amendments and arguments made to the examiner can narrow how a claim is read, and the charts must reflect them.</w:t>
      </w:r>
    </w:p>
    <w:p>
      <w:r>
        <w:t>5. Form of the opinion. Barbara Blair asked whether the result could be a plain yes or no for each patent. Heather Munoz explained that the memorandum will give a view on each patent with the reasoning behind it, and that each view will be qualified.</w:t>
      </w:r>
    </w:p>
    <w:p>
      <w:r>
        <w:t>The memorandum will be marked privileged. Heather Munoz asked that its circulation within Middleton, Sullivan and Wiley be limited to the people who will act on it.</w:t>
      </w:r>
    </w:p>
    <w:p>
      <w:r>
        <w:t>6. Order of review. Richard Henderson proposed charting first the families whose claims track the product most closely. Barbara Blair agreed. Families near the end of their term will be charted last.</w:t>
      </w:r>
    </w:p>
    <w:p>
      <w:r>
        <w:t>7. Time and cost. Kelly Snyder noted that the file histories of the older families are long, and that reading them is the main variable in the time estimate. She will report if that begins to press on the budget.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Action</w:t>
            </w:r>
          </w:p>
        </w:tc>
        <w:tc>
          <w:tcPr>
            <w:tcW w:type="dxa" w:w="2880"/>
          </w:tcPr>
          <w:p>
            <w:r>
              <w:rPr>
                <w:b/>
              </w:rPr>
              <w:t>Owner</w:t>
            </w:r>
          </w:p>
        </w:tc>
      </w:tr>
      <w:tr>
        <w:tc>
          <w:tcPr>
            <w:tcW w:type="dxa" w:w="2880"/>
          </w:tcPr>
          <w:p>
            <w:r>
              <w:t>1</w:t>
            </w:r>
          </w:p>
        </w:tc>
        <w:tc>
          <w:tcPr>
            <w:tcW w:type="dxa" w:w="2880"/>
          </w:tcPr>
          <w:p>
            <w:r>
              <w:t>Circulate the short list, with a note on each patent family</w:t>
            </w:r>
          </w:p>
        </w:tc>
        <w:tc>
          <w:tcPr>
            <w:tcW w:type="dxa" w:w="2880"/>
          </w:tcPr>
          <w:p>
            <w:r>
              <w:t>Richard Henderson</w:t>
            </w:r>
          </w:p>
        </w:tc>
      </w:tr>
      <w:tr>
        <w:tc>
          <w:tcPr>
            <w:tcW w:type="dxa" w:w="2880"/>
          </w:tcPr>
          <w:p>
            <w:r>
              <w:t>2</w:t>
            </w:r>
          </w:p>
        </w:tc>
        <w:tc>
          <w:tcPr>
            <w:tcW w:type="dxa" w:w="2880"/>
          </w:tcPr>
          <w:p>
            <w:r>
              <w:t>Obtain the file history for every short-listed patent</w:t>
            </w:r>
          </w:p>
        </w:tc>
        <w:tc>
          <w:tcPr>
            <w:tcW w:type="dxa" w:w="2880"/>
          </w:tcPr>
          <w:p>
            <w:r>
              <w:t>Kelly Snyder</w:t>
            </w:r>
          </w:p>
        </w:tc>
      </w:tr>
      <w:tr>
        <w:tc>
          <w:tcPr>
            <w:tcW w:type="dxa" w:w="2880"/>
          </w:tcPr>
          <w:p>
            <w:r>
              <w:t>3</w:t>
            </w:r>
          </w:p>
        </w:tc>
        <w:tc>
          <w:tcPr>
            <w:tcW w:type="dxa" w:w="2880"/>
          </w:tcPr>
          <w:p>
            <w:r>
              <w:t>Set up the watch list of pending applications and enter docket status checks</w:t>
            </w:r>
          </w:p>
        </w:tc>
        <w:tc>
          <w:tcPr>
            <w:tcW w:type="dxa" w:w="2880"/>
          </w:tcPr>
          <w:p>
            <w:r>
              <w:t>Kelly Snyder</w:t>
            </w:r>
          </w:p>
        </w:tc>
      </w:tr>
      <w:tr>
        <w:tc>
          <w:tcPr>
            <w:tcW w:type="dxa" w:w="2880"/>
          </w:tcPr>
          <w:p>
            <w:r>
              <w:t>4</w:t>
            </w:r>
          </w:p>
        </w:tc>
        <w:tc>
          <w:tcPr>
            <w:tcW w:type="dxa" w:w="2880"/>
          </w:tcPr>
          <w:p>
            <w:r>
              <w:t>Report any design change that affects a short-listed feature</w:t>
            </w:r>
          </w:p>
        </w:tc>
        <w:tc>
          <w:tcPr>
            <w:tcW w:type="dxa" w:w="2880"/>
          </w:tcPr>
          <w:p>
            <w:r>
              <w:t>Barbara Blair</w:t>
            </w:r>
          </w:p>
        </w:tc>
      </w:tr>
      <w:tr>
        <w:tc>
          <w:tcPr>
            <w:tcW w:type="dxa" w:w="2880"/>
          </w:tcPr>
          <w:p>
            <w:r>
              <w:t>5</w:t>
            </w:r>
          </w:p>
        </w:tc>
        <w:tc>
          <w:tcPr>
            <w:tcW w:type="dxa" w:w="2880"/>
          </w:tcPr>
          <w:p>
            <w:r>
              <w:t>Begin claim charts, starting with the families ranked first</w:t>
            </w:r>
          </w:p>
        </w:tc>
        <w:tc>
          <w:tcPr>
            <w:tcW w:type="dxa" w:w="2880"/>
          </w:tcPr>
          <w:p>
            <w:r>
              <w:t>Richard Henderson</w:t>
            </w:r>
          </w:p>
        </w:tc>
      </w:tr>
      <w:tr>
        <w:tc>
          <w:tcPr>
            <w:tcW w:type="dxa" w:w="2880"/>
          </w:tcPr>
          <w:p>
            <w:r>
              <w:t>6</w:t>
            </w:r>
          </w:p>
        </w:tc>
        <w:tc>
          <w:tcPr>
            <w:tcW w:type="dxa" w:w="2880"/>
          </w:tcPr>
          <w:p>
            <w:r>
              <w:t>Review the first claim charts before they go to the client</w:t>
            </w:r>
          </w:p>
        </w:tc>
        <w:tc>
          <w:tcPr>
            <w:tcW w:type="dxa" w:w="2880"/>
          </w:tcPr>
          <w:p>
            <w:r>
              <w:t>Heather Munoz</w:t>
            </w:r>
          </w:p>
        </w:tc>
      </w:tr>
    </w:tbl>
    <w:p>
      <w:r>
        <w:t>Updates between sessions will go to Barbara Blair on the existing email thread for the matter. The next session will be set once the first group of claim charts has been reviewed.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Freedom-to-Operate Analysis for Middleton, Sullivan and Wiley</dc:title>
  <dc:subject/>
  <dc:creator>Heather Munoz</dc:creator>
  <cp:keywords/>
  <dc:description>generated by python-docx</dc:description>
  <cp:lastModifiedBy>Heather Munoz</cp:lastModifiedBy>
  <cp:revision>1</cp:revision>
  <dcterms:created xsi:type="dcterms:W3CDTF">2020-08-21T09:00:00Z</dcterms:created>
  <dcterms:modified xsi:type="dcterms:W3CDTF">2020-08-21T09:00:00Z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