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Freedom-to-Operate Analysis for Middleton, Sullivan and Wiley</w:t>
      </w:r>
    </w:p>
    <w:p>
      <w:r>
        <w:t>Minutes recorded by Heather Munoz. The session was held by video conference.</w:t>
      </w:r>
    </w:p>
    <w:p>
      <w:pPr>
        <w:pStyle w:val="Heading2"/>
      </w:pPr>
      <w:r>
        <w:t>Present</w:t>
      </w:r>
    </w:p>
    <w:p>
      <w:pPr>
        <w:pStyle w:val="ListBullet"/>
      </w:pPr>
      <w:r>
        <w:t>Heather Munoz, Partner</w:t>
      </w:r>
    </w:p>
    <w:p>
      <w:pPr>
        <w:pStyle w:val="ListBullet"/>
      </w:pPr>
      <w:r>
        <w:t>Richard Henderson, Patent Agent</w:t>
      </w:r>
    </w:p>
    <w:p>
      <w:pPr>
        <w:pStyle w:val="ListBullet"/>
      </w:pPr>
      <w:r>
        <w:t>Kelly Snyder, Associate</w:t>
      </w:r>
    </w:p>
    <w:p>
      <w:pPr>
        <w:pStyle w:val="ListBullet"/>
      </w:pPr>
      <w:r>
        <w:t>Barbara Blair, Director of Operations, Middleton, Sullivan and Wiley</w:t>
      </w:r>
    </w:p>
    <w:p>
      <w:pPr>
        <w:pStyle w:val="Heading2"/>
      </w:pPr>
      <w:r>
        <w:t>Result</w:t>
      </w:r>
    </w:p>
    <w:p>
      <w:r>
        <w:t>Claim charts are complete for most of the short list. On the charts reviewed, most patents appear unlikely to stand in the way of the current design, subject to the qualifications the memorandum will carry.</w:t>
      </w:r>
    </w:p>
    <w:p>
      <w:r>
        <w:t>Two questions remain open before drafting can start: validity of one patent family, and whether one product feature can be changed.</w:t>
      </w:r>
    </w:p>
    <w:p>
      <w:pPr>
        <w:pStyle w:val="Heading2"/>
      </w:pPr>
      <w:r>
        <w:t>Points Discussed</w:t>
      </w:r>
    </w:p>
    <w:p>
      <w:r>
        <w:t>Claim charts. Richard Henderson took the meeting through the charts finished since the last session. For most patents, at least one element of each independent claim has no counterpart in the product as described.</w:t>
      </w:r>
    </w:p>
    <w:p>
      <w:r>
        <w:t>The charts still open cover the families ranked last. Richard Henderson expects no change of approach for them.</w:t>
      </w:r>
    </w:p>
    <w:p>
      <w:r>
        <w:t>Heather Munoz noted that the internal risk ranking is a working tool. It will not appear in the memorandum in that form.</w:t>
      </w:r>
    </w:p>
    <w:p>
      <w:r>
        <w:t>Validity question. Kelly Snyder reported on the file history of the family held for separate review. The applicant narrowed the claims during prosecution to obtain allowance, and that narrowing may limit how far the claims can now be read.</w:t>
      </w:r>
    </w:p>
    <w:p>
      <w:r>
        <w:t>Richard Henderson has located prior art that bears on validity, and his review is under way. Heather Munoz said the memorandum will treat this family on its own and will not rest on invalidity alone.</w:t>
      </w:r>
    </w:p>
    <w:p>
      <w:r>
        <w:t>Design alternatives. One claim element corresponds to a feature that may be changeable. Barbara Blair will ask the engineering team whether the feature can be modified, and what a change would cost in time.</w:t>
      </w:r>
    </w:p>
    <w:p>
      <w:r>
        <w:t>Richard Henderson will send a note describing that claim element in engineering terms. The engineering team should not need to read the claim to answer.</w:t>
      </w:r>
    </w:p>
    <w:p>
      <w:r>
        <w:t>Watch list. Kelly Snyder reported that no application on the watch list has issued since the last session. Docket checks continue.</w:t>
      </w:r>
    </w:p>
    <w:p>
      <w:r>
        <w:t>Memorandum. Barbara Blair asked for a summary she can take to her leadership at Middleton, Sullivan and Wiley. Heather Munoz agreed to put a short summary at the front of the memorandum, with the same qualifications and the same privilege marking as the body.</w:t>
      </w:r>
    </w:p>
    <w:p>
      <w:r>
        <w:t>Heather Munoz asked that the summary not be circulated apart from the memorandum. Barbara Blair agreed.</w:t>
      </w:r>
    </w:p>
    <w:p>
      <w:r>
        <w:t>Barbara Blair asked when the draft would be ready. Heather Munoz said drafting starts when both open questions are answered. She will propose a delivery date at that point.</w:t>
      </w:r>
    </w:p>
    <w:p>
      <w:r>
        <w:t>Time and cost. Kelly Snyder reported that time recorded remains within the estimate. The validity review is the largest item still to come, and she will flag it if it runs long.</w:t>
      </w:r>
    </w:p>
    <w:p>
      <w:pPr>
        <w:pStyle w:val="Heading2"/>
      </w:pPr>
      <w:r>
        <w:t>Actions Agreed</w:t>
      </w:r>
    </w:p>
    <w:p>
      <w:pPr>
        <w:pStyle w:val="ListBullet"/>
      </w:pPr>
      <w:r>
        <w:t>Richard Henderson: send the engineering note on the claim element at issue.</w:t>
      </w:r>
    </w:p>
    <w:p>
      <w:pPr>
        <w:pStyle w:val="ListBullet"/>
      </w:pPr>
      <w:r>
        <w:t>Richard Henderson: finish the remaining claim charts and the validity review.</w:t>
      </w:r>
    </w:p>
    <w:p>
      <w:pPr>
        <w:pStyle w:val="ListBullet"/>
      </w:pPr>
      <w:r>
        <w:t>Barbara Blair: return the engineering team's answer on the feature change.</w:t>
      </w:r>
    </w:p>
    <w:p>
      <w:pPr>
        <w:pStyle w:val="ListBullet"/>
      </w:pPr>
      <w:r>
        <w:t>Kelly Snyder: keep docket checks on the watch list current and report any issuance at once.</w:t>
      </w:r>
    </w:p>
    <w:p>
      <w:pPr>
        <w:pStyle w:val="ListBullet"/>
      </w:pPr>
      <w:r>
        <w:t>Heather Munoz: review the remaining charts, then begin the draft memorandum when the validity review and the engineering answer are in.</w:t>
      </w:r>
    </w:p>
    <w:p>
      <w:r>
        <w:t>A further session will be called only if the engineering answer changes the analysis.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Hollowell Patent Group PLLC</w:t>
    </w:r>
  </w:p>
  <w:p>
    <w:r>
      <w:rPr>
        <w:sz w:val="18"/>
      </w:rPr>
      <w:t>www.hollowellpatent.com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Hollowell Patent Group PLLC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Freedom-to-Operate Analysis for Middleton, Sullivan and Wiley</dc:title>
  <dc:subject/>
  <dc:creator>Heather Munoz</dc:creator>
  <cp:keywords/>
  <dc:description>generated by python-docx</dc:description>
  <cp:lastModifiedBy>Heather Munoz</cp:lastModifiedBy>
  <cp:revision>1</cp:revision>
  <dcterms:created xsi:type="dcterms:W3CDTF">2020-11-20T09:00:00Z</dcterms:created>
  <dcterms:modified xsi:type="dcterms:W3CDTF">2020-11-20T09:00:00Z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