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Portfolio Review: Interim Status Report</w:t>
      </w:r>
    </w:p>
    <w:p>
      <w:r>
        <w:t>Prepared for Odonnell Inc by Kelly Snyder, Patent Agent. Heather Munoz, Partner, is responsible for the matter. Amanda Schwartz, Associate, is handling the pending applications.</w:t>
      </w:r>
    </w:p>
    <w:p>
      <w:pPr>
        <w:pStyle w:val="Heading2"/>
      </w:pPr>
      <w:r>
        <w:t>1. Summary</w:t>
      </w:r>
    </w:p>
    <w:p>
      <w:r>
        <w:t>The review is at its midpoint and on plan. Inventory and docket reconciliation are finished. The claim review of the issued patents is about half done.</w:t>
      </w:r>
    </w:p>
    <w:p>
      <w:r>
        <w:t>We found no missed dates anywhere in the portfolio. Nothing found so far changes the shape or order of the review.</w:t>
      </w:r>
    </w:p>
    <w:p>
      <w:pPr>
        <w:pStyle w:val="Heading2"/>
      </w:pPr>
      <w:r>
        <w:t>2. Completed This Period</w:t>
      </w:r>
    </w:p>
    <w:p>
      <w:r>
        <w:t>The items below are finished. Each has a working file, and you may ask for any of them at any time.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Item</w:t>
            </w:r>
          </w:p>
        </w:tc>
        <w:tc>
          <w:tcPr>
            <w:tcW w:type="dxa" w:w="2880"/>
          </w:tcPr>
          <w:p>
            <w:r>
              <w:rPr>
                <w:b/>
              </w:rPr>
              <w:t>Result</w:t>
            </w:r>
          </w:p>
        </w:tc>
      </w:tr>
      <w:tr>
        <w:tc>
          <w:tcPr>
            <w:tcW w:type="dxa" w:w="2880"/>
          </w:tcPr>
          <w:p>
            <w:r>
              <w:t>1</w:t>
            </w:r>
          </w:p>
        </w:tc>
        <w:tc>
          <w:tcPr>
            <w:tcW w:type="dxa" w:w="2880"/>
          </w:tcPr>
          <w:p>
            <w:r>
              <w:t>Portfolio inventory</w:t>
            </w:r>
          </w:p>
        </w:tc>
        <w:tc>
          <w:tcPr>
            <w:tcW w:type="dxa" w:w="2880"/>
          </w:tcPr>
          <w:p>
            <w:r>
              <w:t>Every issued patent and pending application is listed, assigned to a family, and matched to its official file record.</w:t>
            </w:r>
          </w:p>
        </w:tc>
      </w:tr>
      <w:tr>
        <w:tc>
          <w:tcPr>
            <w:tcW w:type="dxa" w:w="2880"/>
          </w:tcPr>
          <w:p>
            <w:r>
              <w:t>2</w:t>
            </w:r>
          </w:p>
        </w:tc>
        <w:tc>
          <w:tcPr>
            <w:tcW w:type="dxa" w:w="2880"/>
          </w:tcPr>
          <w:p>
            <w:r>
              <w:t>Docket reconciliation</w:t>
            </w:r>
          </w:p>
        </w:tc>
        <w:tc>
          <w:tcPr>
            <w:tcW w:type="dxa" w:w="2880"/>
          </w:tcPr>
          <w:p>
            <w:r>
              <w:t>All open dates were checked against the file histories and entered on our docket. A few internal tracking entries did not match the official record. Each was corrected, and none had caused a lapse.</w:t>
            </w:r>
          </w:p>
        </w:tc>
      </w:tr>
      <w:tr>
        <w:tc>
          <w:tcPr>
            <w:tcW w:type="dxa" w:w="2880"/>
          </w:tcPr>
          <w:p>
            <w:r>
              <w:t>3</w:t>
            </w:r>
          </w:p>
        </w:tc>
        <w:tc>
          <w:tcPr>
            <w:tcW w:type="dxa" w:w="2880"/>
          </w:tcPr>
          <w:p>
            <w:r>
              <w:t>Chain of title</w:t>
            </w:r>
          </w:p>
        </w:tc>
        <w:tc>
          <w:tcPr>
            <w:tcW w:type="dxa" w:w="2880"/>
          </w:tcPr>
          <w:p>
            <w:r>
              <w:t>Recorded assignments were checked family by family. Some older families carry inventor assignments that were signed but never recorded. The list is in the working file.</w:t>
            </w:r>
          </w:p>
        </w:tc>
      </w:tr>
      <w:tr>
        <w:tc>
          <w:tcPr>
            <w:tcW w:type="dxa" w:w="2880"/>
          </w:tcPr>
          <w:p>
            <w:r>
              <w:t>4</w:t>
            </w:r>
          </w:p>
        </w:tc>
        <w:tc>
          <w:tcPr>
            <w:tcW w:type="dxa" w:w="2880"/>
          </w:tcPr>
          <w:p>
            <w:r>
              <w:t>Maintenance fee schedule</w:t>
            </w:r>
          </w:p>
        </w:tc>
        <w:tc>
          <w:tcPr>
            <w:tcW w:type="dxa" w:w="2880"/>
          </w:tcPr>
          <w:p>
            <w:r>
              <w:t>Each issued patent now has its next fee window on our docket, with a provisional flag: keep, review, or candidate to lapse.</w:t>
            </w:r>
          </w:p>
        </w:tc>
      </w:tr>
      <w:tr>
        <w:tc>
          <w:tcPr>
            <w:tcW w:type="dxa" w:w="2880"/>
          </w:tcPr>
          <w:p>
            <w:r>
              <w:t>5</w:t>
            </w:r>
          </w:p>
        </w:tc>
        <w:tc>
          <w:tcPr>
            <w:tcW w:type="dxa" w:w="2880"/>
          </w:tcPr>
          <w:p>
            <w:r>
              <w:t>Issued patents, first group</w:t>
            </w:r>
          </w:p>
        </w:tc>
        <w:tc>
          <w:tcPr>
            <w:tcW w:type="dxa" w:w="2880"/>
          </w:tcPr>
          <w:p>
            <w:r>
              <w:t>Claims in the first group of families were compared against the product descriptions your engineering staff supplied. Draft notes are with Heather Munoz for partner review.</w:t>
            </w:r>
          </w:p>
        </w:tc>
      </w:tr>
      <w:tr>
        <w:tc>
          <w:tcPr>
            <w:tcW w:type="dxa" w:w="2880"/>
          </w:tcPr>
          <w:p>
            <w:r>
              <w:t>6</w:t>
            </w:r>
          </w:p>
        </w:tc>
        <w:tc>
          <w:tcPr>
            <w:tcW w:type="dxa" w:w="2880"/>
          </w:tcPr>
          <w:p>
            <w:r>
              <w:t>Pending applications</w:t>
            </w:r>
          </w:p>
        </w:tc>
        <w:tc>
          <w:tcPr>
            <w:tcW w:type="dxa" w:w="2880"/>
          </w:tcPr>
          <w:p>
            <w:r>
              <w:t>Amanda Schwartz has prepared an issues list for each pending application with an open office action.</w:t>
            </w:r>
          </w:p>
        </w:tc>
      </w:tr>
    </w:tbl>
    <w:p>
      <w:pPr>
        <w:pStyle w:val="Heading2"/>
      </w:pPr>
      <w:r>
        <w:t>3. Early Findings</w:t>
      </w:r>
    </w:p>
    <w:p>
      <w:r>
        <w:t>These findings are preliminary. They come from the first group of families only, and Heather Munoz has not yet reviewed them.</w:t>
      </w:r>
    </w:p>
    <w:p>
      <w:r>
        <w:t>(1) The oldest families were written around products that are no longer sold in their original form. Their claims may still reach features carried into the current line. A lapse decision on those families therefore needs a feature-level look, not a product-level one.</w:t>
      </w:r>
    </w:p>
    <w:p>
      <w:r>
        <w:t>(2) Several families rest on a single issued patent with no pending continuation. Where the product has changed since filing, the claims may not have followed it. These are the families where a continuation is worth discussing.</w:t>
      </w:r>
    </w:p>
    <w:p>
      <w:r>
        <w:t>(3) The dependent claims in some of the newer families are few and close in scope. That narrows the fallback positions available if an independent claim is ever challenged. It is a point for future drafting, not a reason to act on those patents now.</w:t>
      </w:r>
    </w:p>
    <w:p>
      <w:pPr>
        <w:pStyle w:val="Heading2"/>
      </w:pPr>
      <w:r>
        <w:t>4. Planned for the Next Period</w:t>
      </w:r>
    </w:p>
    <w:p>
      <w:r>
        <w:t>The next period follows the order agreed at the outset. We will (1) finish the claim comparison for the remaining families; (2) review the pending applications against the same product descriptions; (3) identify any family where a continuation would cover a product feature the issued claims do not reach; and (4) begin drafting the family-by-family recommendations.</w:t>
      </w:r>
    </w:p>
    <w:p>
      <w:r>
        <w:t>The draft recommendations will go through Heather Munoz before they reach you. They will arrive as one document organized by family, not as a series of separate letters.</w:t>
      </w:r>
    </w:p>
    <w:p>
      <w:r>
        <w:t>Office action decisions will not wait for that document. Amanda Schwartz will send each one to you separately, with the docket number in the subject line and the decision needed stated first.</w:t>
      </w:r>
    </w:p>
    <w:p>
      <w:pPr>
        <w:pStyle w:val="Heading2"/>
      </w:pPr>
      <w:r>
        <w:t>5. Input Needed From You</w:t>
      </w:r>
    </w:p>
    <w:p>
      <w:r>
        <w:t>We need product information for the remaining families. The descriptions we hold cover the current line only. If a product is planned or was recently discontinued, please tell us, because it changes whether a family is worth keeping.</w:t>
      </w:r>
    </w:p>
    <w:p>
      <w:r>
        <w:t>Please also confirm who at Odonnell Inc should receive the maintenance fee flags. Those decisions carry fixed dates and should not wait for the final report.</w:t>
      </w:r>
    </w:p>
    <w:p>
      <w:pPr>
        <w:pStyle w:val="Heading2"/>
      </w:pPr>
      <w:r>
        <w:t>6. Budget and Scope</w:t>
      </w:r>
    </w:p>
    <w:p>
      <w:r>
        <w:t>This report does not restate fees. The engagement letter governs them.</w:t>
      </w:r>
    </w:p>
    <w:p>
      <w:r>
        <w:t>One point bears on cost. If the review recommends a continuation or any other new filing, we will send a separate estimate before work starts. We do not expect every family to need one, and the recommendations will say plainly where a continuation is not worth its fees.</w:t>
      </w:r>
    </w:p>
    <w:p>
      <w:pPr>
        <w:pStyle w:val="Heading2"/>
      </w:pPr>
      <w:r>
        <w:t>7. Risks and Caveats</w:t>
      </w:r>
    </w:p>
    <w:p>
      <w:r>
        <w:t>This section is kept separate on purpose. Please read it even if you read nothing else in the report.</w:t>
      </w:r>
    </w:p>
    <w:p>
      <w:r>
        <w:t>First, response dates on the open office actions fall within the next period. If instructions do not reach us in time, we will request an extension where one is available. Extensions carry official fees and can reduce patent term adjustment.</w:t>
      </w:r>
    </w:p>
    <w:p>
      <w:r>
        <w:t>Second, an unrecorded assignment remains valid between the inventor and the company. It is exposed against a later purchaser, however, and it slows any diligence review. We recommend recording the missing assignments while the inventors are still reachable.</w:t>
      </w:r>
    </w:p>
    <w:p>
      <w:r>
        <w:t>Third, the claim comparison is only as current as the product descriptions behind it. These notes report status. They are not a legal opinion on validity, infringement, or freedom to operate, and they should not be relied on as one.</w:t>
      </w:r>
    </w:p>
    <w:p>
      <w:pPr>
        <w:pStyle w:val="Heading2"/>
      </w:pPr>
      <w:r>
        <w:t>Contact</w:t>
      </w:r>
    </w:p>
    <w:p>
      <w:r>
        <w:t>Questions on any item may come to me directly, or to Heather Munoz. The next report will follow once the claim comparison for the remaining families is complete.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Patent Portfolio Review for Odonnell Inc</dc:title>
  <dc:subject/>
  <dc:creator>Kelly Snyder</dc:creator>
  <cp:keywords/>
  <dc:description>generated by python-docx</dc:description>
  <cp:lastModifiedBy>Kelly Snyder</cp:lastModifiedBy>
  <cp:revision>1</cp:revision>
  <dcterms:created xsi:type="dcterms:W3CDTF">2019-08-27T09:00:00Z</dcterms:created>
  <dcterms:modified xsi:type="dcterms:W3CDTF">2019-08-27T09:00:00Z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