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Working Session: Portfolio Review for Odonnell Inc</w:t>
      </w:r>
    </w:p>
    <w:p>
      <w:r>
        <w:t>The draft recommendations were accepted in principle. The final report will issue once the open items below are closed. Nothing decided today moves a docketed date.</w:t>
      </w:r>
    </w:p>
    <w:p>
      <w:pPr>
        <w:pStyle w:val="Heading2"/>
      </w:pPr>
      <w:r>
        <w:t>Attendees</w:t>
      </w:r>
    </w:p>
    <w:p>
      <w:pPr>
        <w:pStyle w:val="ListBullet"/>
      </w:pPr>
      <w:r>
        <w:t>Gary Smith, General Manager, Odonnell Inc</w:t>
      </w:r>
    </w:p>
    <w:p>
      <w:pPr>
        <w:pStyle w:val="ListBullet"/>
      </w:pPr>
      <w:r>
        <w:t>Heather Munoz, Partner</w:t>
      </w:r>
    </w:p>
    <w:p>
      <w:pPr>
        <w:pStyle w:val="ListBullet"/>
      </w:pPr>
      <w:r>
        <w:t>Kelly Snyder, Patent Agent</w:t>
      </w:r>
    </w:p>
    <w:p>
      <w:pPr>
        <w:pStyle w:val="ListBullet"/>
      </w:pPr>
      <w:r>
        <w:t>Amanda Schwartz, Associate</w:t>
      </w:r>
    </w:p>
    <w:p>
      <w:pPr>
        <w:pStyle w:val="Heading2"/>
      </w:pPr>
      <w:r>
        <w:t>Purpose</w:t>
      </w:r>
    </w:p>
    <w:p>
      <w:r>
        <w:t>Walk Gary Smith through the draft recommendations family by family. Settle what goes into the final report and what stays open.</w:t>
      </w:r>
    </w:p>
    <w:p>
      <w:pPr>
        <w:pStyle w:val="Heading2"/>
      </w:pPr>
      <w:r>
        <w:t>Discussion</w:t>
      </w:r>
    </w:p>
    <w:p>
      <w:r>
        <w:t>Maintenance fees: the keep list stands as drafted. Gary Smith agreed to let the flagged lapse candidates go at their next fee window. He wants the reasoning for each written into the final report so his board can follow it.</w:t>
      </w:r>
    </w:p>
    <w:p>
      <w:r>
        <w:t>Continuations: a single continuation goes forward. Heather Munoz recommended keeping it pending in the family closest to the current product line. Kelly Snyder noted that a second continuation would exceed the budget Gary Smith described for next year, and he agreed to hold it.</w:t>
      </w:r>
    </w:p>
    <w:p>
      <w:r>
        <w:t>Foreign counterparts: no change for now. Heather Munoz advised deciding country by country at each annuity, based on where the company sells and manufactures. Kelly Snyder will add an annuity column to the keep list so those decisions sit beside the domestic ones.</w:t>
      </w:r>
    </w:p>
    <w:p>
      <w:r>
        <w:t>Chain of title: nearly closed. Amanda Schwartz reported that the missing inventor assignments are signed and ready to record, except for one from a former employee who has not responded. Gary Smith will ask his staff for a current address.</w:t>
      </w:r>
    </w:p>
    <w:p>
      <w:r>
        <w:t>Pending office actions: on track. Amanda Schwartz reviewed the open responses against her issues list. The remaining response needs a choice between arguing the rejection and narrowing the independent claims, and Heather Munoz recommended arguing first with the amendment held in reserve.</w:t>
      </w:r>
    </w:p>
    <w:p>
      <w:r>
        <w:t>Report format: Gary Smith asked for a one-page summary ahead of the family-by-family detail, and that was agreed. Heather Munoz noted that the report is a portfolio review and not a freedom-to-operate opinion. The summary page will say so in its first paragraph.</w:t>
      </w:r>
    </w:p>
    <w:p>
      <w:r>
        <w:t>Docket: confirmed complete. Kelly Snyder confirmed that every fee window and response date found in the review is on the firm's docket. Reminders go to Gary Smith as the named contact, with a copy to Heather Munoz.</w:t>
      </w:r>
    </w:p>
    <w:p>
      <w:r>
        <w:t>Competitor filings: no decision. Gary Smith asked whether the firm could watch competitor applications going forward. Heather Munoz said that work falls outside the review and would be quoted separately if he wants it.</w:t>
      </w:r>
    </w:p>
    <w:p>
      <w:pPr>
        <w:pStyle w:val="Heading2"/>
      </w:pPr>
      <w:r>
        <w:t>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Timing</w:t>
            </w:r>
          </w:p>
        </w:tc>
      </w:tr>
      <w:tr>
        <w:tc>
          <w:tcPr>
            <w:tcW w:type="dxa" w:w="2160"/>
          </w:tcPr>
          <w:p>
            <w:r>
              <w:t>1</w:t>
            </w:r>
          </w:p>
        </w:tc>
        <w:tc>
          <w:tcPr>
            <w:tcW w:type="dxa" w:w="2160"/>
          </w:tcPr>
          <w:p>
            <w:r>
              <w:t>Confirm the keep and lapse list in writing</w:t>
            </w:r>
          </w:p>
        </w:tc>
        <w:tc>
          <w:tcPr>
            <w:tcW w:type="dxa" w:w="2160"/>
          </w:tcPr>
          <w:p>
            <w:r>
              <w:t>Gary Smith</w:t>
            </w:r>
          </w:p>
        </w:tc>
        <w:tc>
          <w:tcPr>
            <w:tcW w:type="dxa" w:w="2160"/>
          </w:tcPr>
          <w:p>
            <w:r>
              <w:t>Before the final report</w:t>
            </w:r>
          </w:p>
        </w:tc>
      </w:tr>
      <w:tr>
        <w:tc>
          <w:tcPr>
            <w:tcW w:type="dxa" w:w="2160"/>
          </w:tcPr>
          <w:p>
            <w:r>
              <w:t>2</w:t>
            </w:r>
          </w:p>
        </w:tc>
        <w:tc>
          <w:tcPr>
            <w:tcW w:type="dxa" w:w="2160"/>
          </w:tcPr>
          <w:p>
            <w:r>
              <w:t>Provide a current address for the former employee</w:t>
            </w:r>
          </w:p>
        </w:tc>
        <w:tc>
          <w:tcPr>
            <w:tcW w:type="dxa" w:w="2160"/>
          </w:tcPr>
          <w:p>
            <w:r>
              <w:t>Gary Smith</w:t>
            </w:r>
          </w:p>
        </w:tc>
        <w:tc>
          <w:tcPr>
            <w:tcW w:type="dxa" w:w="2160"/>
          </w:tcPr>
          <w:p>
            <w:r>
              <w:t>As soon as available</w:t>
            </w:r>
          </w:p>
        </w:tc>
      </w:tr>
      <w:tr>
        <w:tc>
          <w:tcPr>
            <w:tcW w:type="dxa" w:w="2160"/>
          </w:tcPr>
          <w:p>
            <w:r>
              <w:t>3</w:t>
            </w:r>
          </w:p>
        </w:tc>
        <w:tc>
          <w:tcPr>
            <w:tcW w:type="dxa" w:w="2160"/>
          </w:tcPr>
          <w:p>
            <w:r>
              <w:t>Record the signed assignments; follow up on the outstanding one</w:t>
            </w:r>
          </w:p>
        </w:tc>
        <w:tc>
          <w:tcPr>
            <w:tcW w:type="dxa" w:w="2160"/>
          </w:tcPr>
          <w:p>
            <w:r>
              <w:t>Amanda Schwartz</w:t>
            </w:r>
          </w:p>
        </w:tc>
        <w:tc>
          <w:tcPr>
            <w:tcW w:type="dxa" w:w="2160"/>
          </w:tcPr>
          <w:p>
            <w:r>
              <w:t>On receipt of the address</w:t>
            </w:r>
          </w:p>
        </w:tc>
      </w:tr>
      <w:tr>
        <w:tc>
          <w:tcPr>
            <w:tcW w:type="dxa" w:w="2160"/>
          </w:tcPr>
          <w:p>
            <w:r>
              <w:t>4</w:t>
            </w:r>
          </w:p>
        </w:tc>
        <w:tc>
          <w:tcPr>
            <w:tcW w:type="dxa" w:w="2160"/>
          </w:tcPr>
          <w:p>
            <w:r>
              <w:t>Circulate the draft argument on the remaining office action</w:t>
            </w:r>
          </w:p>
        </w:tc>
        <w:tc>
          <w:tcPr>
            <w:tcW w:type="dxa" w:w="2160"/>
          </w:tcPr>
          <w:p>
            <w:r>
              <w:t>Amanda Schwartz</w:t>
            </w:r>
          </w:p>
        </w:tc>
        <w:tc>
          <w:tcPr>
            <w:tcW w:type="dxa" w:w="2160"/>
          </w:tcPr>
          <w:p>
            <w:r>
              <w:t>Ahead of the docketed response date</w:t>
            </w:r>
          </w:p>
        </w:tc>
      </w:tr>
      <w:tr>
        <w:tc>
          <w:tcPr>
            <w:tcW w:type="dxa" w:w="2160"/>
          </w:tcPr>
          <w:p>
            <w:r>
              <w:t>5</w:t>
            </w:r>
          </w:p>
        </w:tc>
        <w:tc>
          <w:tcPr>
            <w:tcW w:type="dxa" w:w="2160"/>
          </w:tcPr>
          <w:p>
            <w:r>
              <w:t>Prepare a cost estimate for the recommended continuation</w:t>
            </w:r>
          </w:p>
        </w:tc>
        <w:tc>
          <w:tcPr>
            <w:tcW w:type="dxa" w:w="2160"/>
          </w:tcPr>
          <w:p>
            <w:r>
              <w:t>Kelly Snyder</w:t>
            </w:r>
          </w:p>
        </w:tc>
        <w:tc>
          <w:tcPr>
            <w:tcW w:type="dxa" w:w="2160"/>
          </w:tcPr>
          <w:p>
            <w:r>
              <w:t>Next working session</w:t>
            </w:r>
          </w:p>
        </w:tc>
      </w:tr>
      <w:tr>
        <w:tc>
          <w:tcPr>
            <w:tcW w:type="dxa" w:w="2160"/>
          </w:tcPr>
          <w:p>
            <w:r>
              <w:t>6</w:t>
            </w:r>
          </w:p>
        </w:tc>
        <w:tc>
          <w:tcPr>
            <w:tcW w:type="dxa" w:w="2160"/>
          </w:tcPr>
          <w:p>
            <w:r>
              <w:t>Add the annuity column to the keep list</w:t>
            </w:r>
          </w:p>
        </w:tc>
        <w:tc>
          <w:tcPr>
            <w:tcW w:type="dxa" w:w="2160"/>
          </w:tcPr>
          <w:p>
            <w:r>
              <w:t>Kelly Snyder</w:t>
            </w:r>
          </w:p>
        </w:tc>
        <w:tc>
          <w:tcPr>
            <w:tcW w:type="dxa" w:w="2160"/>
          </w:tcPr>
          <w:p>
            <w:r>
              <w:t>Next working session</w:t>
            </w:r>
          </w:p>
        </w:tc>
      </w:tr>
      <w:tr>
        <w:tc>
          <w:tcPr>
            <w:tcW w:type="dxa" w:w="2160"/>
          </w:tcPr>
          <w:p>
            <w:r>
              <w:t>7</w:t>
            </w:r>
          </w:p>
        </w:tc>
        <w:tc>
          <w:tcPr>
            <w:tcW w:type="dxa" w:w="2160"/>
          </w:tcPr>
          <w:p>
            <w:r>
              <w:t>Draft the one-page summary and the final report</w:t>
            </w:r>
          </w:p>
        </w:tc>
        <w:tc>
          <w:tcPr>
            <w:tcW w:type="dxa" w:w="2160"/>
          </w:tcPr>
          <w:p>
            <w:r>
              <w:t>Heather Munoz</w:t>
            </w:r>
          </w:p>
        </w:tc>
        <w:tc>
          <w:tcPr>
            <w:tcW w:type="dxa" w:w="2160"/>
          </w:tcPr>
          <w:p>
            <w:r>
              <w:t>Once items 1 and 3 close</w:t>
            </w:r>
          </w:p>
        </w:tc>
      </w:tr>
      <w:tr>
        <w:tc>
          <w:tcPr>
            <w:tcW w:type="dxa" w:w="2160"/>
          </w:tcPr>
          <w:p>
            <w:r>
              <w:t>8</w:t>
            </w:r>
          </w:p>
        </w:tc>
        <w:tc>
          <w:tcPr>
            <w:tcW w:type="dxa" w:w="2160"/>
          </w:tcPr>
          <w:p>
            <w:r>
              <w:t>Quote for a competitor filing watch, if requested</w:t>
            </w:r>
          </w:p>
        </w:tc>
        <w:tc>
          <w:tcPr>
            <w:tcW w:type="dxa" w:w="2160"/>
          </w:tcPr>
          <w:p>
            <w:r>
              <w:t>Heather Munoz</w:t>
            </w:r>
          </w:p>
        </w:tc>
        <w:tc>
          <w:tcPr>
            <w:tcW w:type="dxa" w:w="2160"/>
          </w:tcPr>
          <w:p>
            <w:r>
              <w:t>On request</w:t>
            </w:r>
          </w:p>
        </w:tc>
      </w:tr>
    </w:tbl>
    <w:p>
      <w:r>
        <w:t>The next session will be set once the written confirmation in item 1 arrives. Minutes prepared by Heather Munoz and circulated to all attendees.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Patent Portfolio Review for Odonnell Inc</dc:title>
  <dc:subject/>
  <dc:creator>Heather Munoz</dc:creator>
  <cp:keywords/>
  <dc:description>generated by python-docx</dc:description>
  <cp:lastModifiedBy>Heather Munoz</cp:lastModifiedBy>
  <cp:revision>1</cp:revision>
  <dcterms:created xsi:type="dcterms:W3CDTF">2019-11-04T09:00:00Z</dcterms:created>
  <dcterms:modified xsi:type="dcterms:W3CDTF">2019-11-04T09:00:00Z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