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Licensing Diligence for Price-Henson</w:t>
      </w:r>
    </w:p>
    <w:p>
      <w:r>
        <w:t>Prepared for Price-Henson by David Chang, Patent Agent, with Richard Henderson, Patent Agent, and Mary Bradley, Managing Partner. Privileged and confidential.</w:t>
      </w:r>
    </w:p>
    <w:p>
      <w:pPr>
        <w:pStyle w:val="Heading2"/>
      </w:pPr>
      <w:r>
        <w:t>Where the Review Stands</w:t>
      </w:r>
    </w:p>
    <w:p>
      <w:r>
        <w:t>The review is at roughly its halfway point and on schedule. Title and status work on the United States families is finished, the encumbrance search is finished, and the claim reading is complete in draft for the firmware and control families and under way for the mechanical families.</w:t>
      </w:r>
    </w:p>
    <w:p>
      <w:r>
        <w:t>Two items from the working session remain open on the licensor's side: the confirmatory assignment for the unrecorded inventor, and a release or consent covering the recorded security interest. Neither has held up the claim reading, but both need to be resolved, or dealt with in the license terms, before signing.</w:t>
      </w:r>
    </w:p>
    <w:p>
      <w:pPr>
        <w:pStyle w:val="Heading2"/>
      </w:pPr>
      <w:r>
        <w:t>Completed to Date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Status</w:t>
            </w:r>
          </w:p>
        </w:tc>
        <w:tc>
          <w:tcPr>
            <w:tcW w:type="dxa" w:w="2880"/>
          </w:tcPr>
          <w:p>
            <w:r>
              <w:rPr>
                <w:b/>
              </w:rPr>
              <w:t>Notes</w:t>
            </w:r>
          </w:p>
        </w:tc>
      </w:tr>
      <w:tr>
        <w:tc>
          <w:tcPr>
            <w:tcW w:type="dxa" w:w="2880"/>
          </w:tcPr>
          <w:p>
            <w:r>
              <w:t>Chain of title</w:t>
            </w:r>
          </w:p>
        </w:tc>
        <w:tc>
          <w:tcPr>
            <w:tcW w:type="dxa" w:w="2880"/>
          </w:tcPr>
          <w:p>
            <w:r>
              <w:t>Complete</w:t>
            </w:r>
          </w:p>
        </w:tc>
        <w:tc>
          <w:tcPr>
            <w:tcW w:type="dxa" w:w="2880"/>
          </w:tcPr>
          <w:p>
            <w:r>
              <w:t>The recorded chain runs from the inventors to the licensor for every family but one. The licensor has produced the employment agreement for the unrecorded inventor, and a confirmatory assignment has been requested through its counsel.</w:t>
            </w:r>
          </w:p>
        </w:tc>
      </w:tr>
      <w:tr>
        <w:tc>
          <w:tcPr>
            <w:tcW w:type="dxa" w:w="2880"/>
          </w:tcPr>
          <w:p>
            <w:r>
              <w:t>Status and maintenance</w:t>
            </w:r>
          </w:p>
        </w:tc>
        <w:tc>
          <w:tcPr>
            <w:tcW w:type="dxa" w:w="2880"/>
          </w:tcPr>
          <w:p>
            <w:r>
              <w:t>Complete</w:t>
            </w:r>
          </w:p>
        </w:tc>
        <w:tc>
          <w:tcPr>
            <w:tcW w:type="dxa" w:w="2880"/>
          </w:tcPr>
          <w:p>
            <w:r>
              <w:t>Issued patents are in force and no pending application has a response overdue. The maintenance fee schedule by family was sent to Price-Henson after the working session.</w:t>
            </w:r>
          </w:p>
        </w:tc>
      </w:tr>
      <w:tr>
        <w:tc>
          <w:tcPr>
            <w:tcW w:type="dxa" w:w="2880"/>
          </w:tcPr>
          <w:p>
            <w:r>
              <w:t>Encumbrances</w:t>
            </w:r>
          </w:p>
        </w:tc>
        <w:tc>
          <w:tcPr>
            <w:tcW w:type="dxa" w:w="2880"/>
          </w:tcPr>
          <w:p>
            <w:r>
              <w:t>Complete</w:t>
            </w:r>
          </w:p>
        </w:tc>
        <w:tc>
          <w:tcPr>
            <w:tcW w:type="dxa" w:w="2880"/>
          </w:tcPr>
          <w:p>
            <w:r>
              <w:t>One recorded security interest in favor of the licensor's lender, with no release of record. No recorded licenses or other liens against the scheduled families were found.</w:t>
            </w:r>
          </w:p>
        </w:tc>
      </w:tr>
      <w:tr>
        <w:tc>
          <w:tcPr>
            <w:tcW w:type="dxa" w:w="2880"/>
          </w:tcPr>
          <w:p>
            <w:r>
              <w:t>Schedule reconciliation</w:t>
            </w:r>
          </w:p>
        </w:tc>
        <w:tc>
          <w:tcPr>
            <w:tcW w:type="dxa" w:w="2880"/>
          </w:tcPr>
          <w:p>
            <w:r>
              <w:t>Complete</w:t>
            </w:r>
          </w:p>
        </w:tc>
        <w:tc>
          <w:tcPr>
            <w:tcW w:type="dxa" w:w="2880"/>
          </w:tcPr>
          <w:p>
            <w:r>
              <w:t>The terminally disclaimed continuation has been added to the marked-up patent schedule beside its parent.</w:t>
            </w:r>
          </w:p>
        </w:tc>
      </w:tr>
      <w:tr>
        <w:tc>
          <w:tcPr>
            <w:tcW w:type="dxa" w:w="2880"/>
          </w:tcPr>
          <w:p>
            <w:r>
              <w:t>Claim reading, firmware and control families</w:t>
            </w:r>
          </w:p>
        </w:tc>
        <w:tc>
          <w:tcPr>
            <w:tcW w:type="dxa" w:w="2880"/>
          </w:tcPr>
          <w:p>
            <w:r>
              <w:t>Draft complete</w:t>
            </w:r>
          </w:p>
        </w:tc>
        <w:tc>
          <w:tcPr>
            <w:tcW w:type="dxa" w:w="2880"/>
          </w:tcPr>
          <w:p>
            <w:r>
              <w:t>Read against the product description Price-Henson supplied. The draft is with Mary Bradley for review.</w:t>
            </w:r>
          </w:p>
        </w:tc>
      </w:tr>
      <w:tr>
        <w:tc>
          <w:tcPr>
            <w:tcW w:type="dxa" w:w="2880"/>
          </w:tcPr>
          <w:p>
            <w:r>
              <w:t>Claim reading, mechanical families</w:t>
            </w:r>
          </w:p>
        </w:tc>
        <w:tc>
          <w:tcPr>
            <w:tcW w:type="dxa" w:w="2880"/>
          </w:tcPr>
          <w:p>
            <w:r>
              <w:t>In progress</w:t>
            </w:r>
          </w:p>
        </w:tc>
        <w:tc>
          <w:tcPr>
            <w:tcW w:type="dxa" w:w="2880"/>
          </w:tcPr>
          <w:p>
            <w:r>
              <w:t>Richard Henderson is reading the independent claims against the housing and mounting drawings in the product description.</w:t>
            </w:r>
          </w:p>
        </w:tc>
      </w:tr>
    </w:tbl>
    <w:p>
      <w:r>
        <w:t>The firmware and control reading compares each independent claim, element by element, with how the product description says the control board and its firmware behave. Where an element turns on behavior the description does not cover, such as how the firmware responds to a sensor fault or a power interruption, the reading marks the element open instead of assuming an answer.</w:t>
      </w:r>
    </w:p>
    <w:p>
      <w:r>
        <w:t>A short call with whoever at Price-Henson knows the firmware best would close most of those open elements. I can send the list of questions ahead of the call so it takes less of their time.</w:t>
      </w:r>
    </w:p>
    <w:p>
      <w:r>
        <w:t>The mechanical reading follows the same method, with the drawings in the product description standing in for the product itself. One mechanical family's claims were amended during prosecution, and whether that amendment confines them to an arrangement the product does not use will be settled in the prosecution history review, not from the claim text alone.</w:t>
      </w:r>
    </w:p>
    <w:p>
      <w:pPr>
        <w:pStyle w:val="Heading2"/>
      </w:pPr>
      <w:r>
        <w:t>Work Ahead</w:t>
      </w:r>
    </w:p>
    <w:p>
      <w:r>
        <w:t>Before the findings memorandum, in this order:</w:t>
        <w:br/>
        <w:t>1. Finish the mechanical family reading, starting with the families closest to the planned product.</w:t>
        <w:br/>
        <w:t>2. Review the prosecution history of each family the readings rely on, for amendments or arguments that narrow what its claims can cover.</w:t>
        <w:br/>
        <w:t>3. Confirm the status of the foreign counterparts. The schedule lists them, but the licensor has not yet supplied the foreign file records.</w:t>
        <w:br/>
        <w:t>4. Prepare the findings memorandum, family by family, for Mary Bradley's review. Any statement about what Price-Henson can or cannot rely on in the license will come from her and not from the claim readings.</w:t>
      </w:r>
    </w:p>
    <w:p>
      <w:pPr>
        <w:pStyle w:val="Heading2"/>
      </w:pPr>
      <w:r>
        <w:t>Risks and Open Items</w:t>
      </w:r>
    </w:p>
    <w:p>
      <w:r>
        <w:t>1. Security interest. Until a release or the lender's consent is of record, the lender's rights in part of the portfolio are not fully known. If neither arrives before signing, Mary Bradley will advise on how the license terms should address it.</w:t>
        <w:br/>
        <w:t>2. Confirmatory assignment. The employment agreement may well be sufficient on its own, but a recorded confirmatory assignment removes the question. The licensor has not said when it will sign.</w:t>
        <w:br/>
        <w:t>3. Foreign records. The foreign counterpart review depends on records the licensor holds through its own foreign associates. A delay there would hold up that part of the review but not the United States findings.</w:t>
        <w:br/>
        <w:t>4. Schedule changes. If the licensor adds families to the schedule, review of those families falls outside the current scope, and we would raise it with you before doing the work.</w:t>
      </w:r>
    </w:p>
    <w:p>
      <w:pPr>
        <w:pStyle w:val="Heading2"/>
      </w:pPr>
      <w:r>
        <w:t>Budget</w:t>
      </w:r>
    </w:p>
    <w:p>
      <w:r>
        <w:t>The engagement is being performed for the fixed fee of $41,000. Work to date is within that fee, and nothing now planned calls for a change to it. Additional families, or a request for a formal opinion beyond the findings memorandum, would be scoped and agreed with you separately before any work starts.</w:t>
      </w:r>
    </w:p>
    <w:p>
      <w:r>
        <w:t>Questions on the claim readings can come to me. Questions on the open title items or on the license terms should go to Mary Bradley, who will also review the findings memorandum before it is sent.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Licensing Diligence for Price-Henson</dc:title>
  <dc:subject/>
  <dc:creator>David Chang</dc:creator>
  <cp:keywords/>
  <dc:description>generated by python-docx</dc:description>
  <cp:lastModifiedBy>David Chang</cp:lastModifiedBy>
  <cp:revision>1</cp:revision>
  <dcterms:created xsi:type="dcterms:W3CDTF">2025-06-08T09:00:00Z</dcterms:created>
  <dcterms:modified xsi:type="dcterms:W3CDTF">2025-06-08T09:00:00Z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