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Minutes of Working Session: Licensing Diligence for Price-Henson</w:t>
      </w:r>
    </w:p>
    <w:p>
      <w:r>
        <w:t>Privileged and Confidential. Attorney-Client Communication.</w:t>
      </w:r>
    </w:p>
    <w:p>
      <w:pPr>
        <w:pStyle w:val="Heading2"/>
      </w:pPr>
      <w:r>
        <w:t>Attendees</w:t>
      </w:r>
    </w:p>
    <w:p>
      <w:pPr>
        <w:pStyle w:val="ListBullet"/>
      </w:pPr>
      <w:r>
        <w:t>Mary Bradley, Managing Partner</w:t>
      </w:r>
    </w:p>
    <w:p>
      <w:pPr>
        <w:pStyle w:val="ListBullet"/>
      </w:pPr>
      <w:r>
        <w:t>David Chang, Patent Agent</w:t>
      </w:r>
    </w:p>
    <w:p>
      <w:pPr>
        <w:pStyle w:val="ListBullet"/>
      </w:pPr>
      <w:r>
        <w:t>Richard Henderson, Patent Agent</w:t>
      </w:r>
    </w:p>
    <w:p>
      <w:pPr>
        <w:pStyle w:val="ListBullet"/>
      </w:pPr>
      <w:r>
        <w:t>Tiffany Munoz, Chief Financial Officer, Price-Henson</w:t>
      </w:r>
    </w:p>
    <w:p>
      <w:r>
        <w:t>The session took Price-Henson through the results of the title and status review, which is complete for the United States families, and settled the order of the claim review that follows. Items are recorded in the order taken.</w:t>
      </w:r>
    </w:p>
    <w:p>
      <w:pPr>
        <w:pStyle w:val="Heading2"/>
      </w:pPr>
      <w:r>
        <w:t>Matters Discussed</w:t>
      </w:r>
    </w:p>
    <w:p>
      <w:r>
        <w:t>1. Chain of title. David Chang reported that the recorded chain runs from the inventors to the licensor for every family except one, in which a single inventor's assignment was never recorded. The licensor has produced that inventor's employment agreement, which uses present-tense assignment language, and Mary Bradley's preliminary view is that the agreement probably carries title; she nonetheless recommended a confirmatory assignment, executed and recorded before signing, so that the point does not rest on the agreement's wording.</w:t>
      </w:r>
    </w:p>
    <w:p>
      <w:r>
        <w:t>2. Status. Every issued patent on the schedule is in force, and no pending application has a response overdue. Richard Henderson noted that one continuation in the mechanical group was allowed over a terminal disclaimer tying it to its parent, which leaves the continuation enforceable only while the two remain commonly owned, and that the draft schedule lists only the parent.</w:t>
      </w:r>
    </w:p>
    <w:p>
      <w:r>
        <w:t>3. Security interest. The assignment record shows a security interest in favor of a lender against part of the portfolio, with no release of record. Tiffany Munoz asked whether this prevents the license from being signed; Mary Bradley answered that it does not necessarily, but that the lender's rights and any consent requirement must be understood first, and that a recorded release or the lender's written consent is the cleaner course.</w:t>
      </w:r>
    </w:p>
    <w:p>
      <w:r>
        <w:t>4. Maintenance fees. Tiffany Munoz asked who will carry the maintenance fees that fall due during the license term and what they will amount to. David Chang will prepare a schedule of the upcoming fee windows by family from the docket, with the official fee for each, so that the allocation can be negotiated against actual amounts.</w:t>
      </w:r>
    </w:p>
    <w:p>
      <w:r>
        <w:t>5. Claim review. The claim review begins with the firmware and control families, which David Chang will read against the product description Price-Henson supplied, and continues with the mechanical families under Richard Henderson. Mary Bradley asked that the readings be presented as findings and not as opinions on infringement or validity; any opinion will be given separately, in writing, if Price-Henson requests one. Tiffany Munoz confirmed that the product description already supplied is current and that she will tell the team if the design changes while the review is under way.</w:t>
      </w:r>
    </w:p>
    <w:p>
      <w:r>
        <w:t>6. Foreign counterparts. The schedule lists foreign counterparts for several families, and the licensor handles their prosecution through its own foreign associates, so their status can be confirmed only from records the licensor holds. That work follows the United States review and will be reported in its own section of the findings memorandum.</w:t>
      </w:r>
    </w:p>
    <w:p>
      <w:pPr>
        <w:pStyle w:val="Heading2"/>
      </w:pPr>
      <w:r>
        <w:t>Actions Agreed</w:t>
      </w:r>
    </w:p>
    <w:tbl>
      <w:tblPr>
        <w:tblStyle w:val="TableGrid"/>
        <w:tblW w:type="auto" w:w="0"/>
        <w:tblLook w:firstColumn="1" w:firstRow="1" w:lastColumn="0" w:lastRow="0" w:noHBand="0" w:noVBand="1" w:val="04A0"/>
      </w:tblPr>
      <w:tblGrid>
        <w:gridCol w:w="4320"/>
        <w:gridCol w:w="4320"/>
      </w:tblGrid>
      <w:tr>
        <w:tc>
          <w:tcPr>
            <w:tcW w:type="dxa" w:w="4320"/>
          </w:tcPr>
          <w:p>
            <w:r>
              <w:rPr>
                <w:b/>
              </w:rPr>
              <w:t>Owner</w:t>
            </w:r>
          </w:p>
        </w:tc>
        <w:tc>
          <w:tcPr>
            <w:tcW w:type="dxa" w:w="4320"/>
          </w:tcPr>
          <w:p>
            <w:r>
              <w:rPr>
                <w:b/>
              </w:rPr>
              <w:t>Action</w:t>
            </w:r>
          </w:p>
        </w:tc>
      </w:tr>
      <w:tr>
        <w:tc>
          <w:tcPr>
            <w:tcW w:type="dxa" w:w="4320"/>
          </w:tcPr>
          <w:p>
            <w:r>
              <w:t>Mary Bradley</w:t>
            </w:r>
          </w:p>
        </w:tc>
        <w:tc>
          <w:tcPr>
            <w:tcW w:type="dxa" w:w="4320"/>
          </w:tcPr>
          <w:p>
            <w:r>
              <w:t>Write to the licensor's counsel requesting a confirmatory assignment for the unrecorded inventor, either a release from the lender or its written consent to the license, and the foreign file records for the scheduled counterparts.</w:t>
            </w:r>
          </w:p>
        </w:tc>
      </w:tr>
      <w:tr>
        <w:tc>
          <w:tcPr>
            <w:tcW w:type="dxa" w:w="4320"/>
          </w:tcPr>
          <w:p>
            <w:r>
              <w:t>David Chang</w:t>
            </w:r>
          </w:p>
        </w:tc>
        <w:tc>
          <w:tcPr>
            <w:tcW w:type="dxa" w:w="4320"/>
          </w:tcPr>
          <w:p>
            <w:r>
              <w:t>Prepare the maintenance fee schedule by family from the docket and send it to Tiffany Munoz.</w:t>
            </w:r>
          </w:p>
        </w:tc>
      </w:tr>
      <w:tr>
        <w:tc>
          <w:tcPr>
            <w:tcW w:type="dxa" w:w="4320"/>
          </w:tcPr>
          <w:p>
            <w:r>
              <w:t>David Chang</w:t>
            </w:r>
          </w:p>
        </w:tc>
        <w:tc>
          <w:tcPr>
            <w:tcW w:type="dxa" w:w="4320"/>
          </w:tcPr>
          <w:p>
            <w:r>
              <w:t>Begin the claim reading on the firmware and control families against the product description.</w:t>
            </w:r>
          </w:p>
        </w:tc>
      </w:tr>
      <w:tr>
        <w:tc>
          <w:tcPr>
            <w:tcW w:type="dxa" w:w="4320"/>
          </w:tcPr>
          <w:p>
            <w:r>
              <w:t>Richard Henderson</w:t>
            </w:r>
          </w:p>
        </w:tc>
        <w:tc>
          <w:tcPr>
            <w:tcW w:type="dxa" w:w="4320"/>
          </w:tcPr>
          <w:p>
            <w:r>
              <w:t>Mark up the draft patent schedule to add the terminally disclaimed continuation beside its parent, then begin the mechanical family reading.</w:t>
            </w:r>
          </w:p>
        </w:tc>
      </w:tr>
      <w:tr>
        <w:tc>
          <w:tcPr>
            <w:tcW w:type="dxa" w:w="4320"/>
          </w:tcPr>
          <w:p>
            <w:r>
              <w:t>Tiffany Munoz</w:t>
            </w:r>
          </w:p>
        </w:tc>
        <w:tc>
          <w:tcPr>
            <w:tcW w:type="dxa" w:w="4320"/>
          </w:tcPr>
          <w:p>
            <w:r>
              <w:t>Confirm whether Price-Henson wants the security interest resolved before signing or addressed in the license terms.</w:t>
            </w:r>
          </w:p>
        </w:tc>
      </w:tr>
    </w:tbl>
    <w:p>
      <w:r>
        <w:t>The next step is Mary Bradley's letter to the licensor's counsel on the unrecorded assignment and the security interest.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Hollowell Patent Group PLLC</w:t>
    </w:r>
  </w:p>
  <w:p>
    <w:r>
      <w:rPr>
        <w:sz w:val="18"/>
      </w:rPr>
      <w:t>www.hollowellpatent.com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Hollowell Patent Group PLLC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Licensing Diligence for Price-Henson</dc:title>
  <dc:subject/>
  <dc:creator>Mary Bradley</dc:creator>
  <cp:keywords/>
  <dc:description>generated by python-docx</dc:description>
  <cp:lastModifiedBy>Mary Bradley</cp:lastModifiedBy>
  <cp:revision>1</cp:revision>
  <dcterms:created xsi:type="dcterms:W3CDTF">2025-05-21T09:00:00Z</dcterms:created>
  <dcterms:modified xsi:type="dcterms:W3CDTF">2025-05-21T09:00:00Z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