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Hollowell Patent Group PLLC</w:t>
      </w:r>
    </w:p>
    <w:p>
      <w:r>
        <w:t>Hollowell Patent Group PLLC is a patent practice. We prepare and prosecute patent applications, manage portfolios once patents issue, and advise clients on the strength and reach of patents held by others, and we keep the firm to that work so that every matter is handled by people who practice nothing else. This overview describes the services we offer, how a matter is run from the first conversation to the last docketed date, and what a client should expect from us in writing.</w:t>
      </w:r>
    </w:p>
    <w:p>
      <w:pPr>
        <w:pStyle w:val="Heading2"/>
      </w:pPr>
      <w:r>
        <w:t>What we do</w:t>
      </w:r>
    </w:p>
    <w:p>
      <w:r>
        <w:t>The work falls into four service lines. Each is opened, staffed, and billed as its own matter, so that a client can see what is being done, by whom, and on what terms.</w:t>
      </w:r>
    </w:p>
    <w:p>
      <w:pPr>
        <w:pStyle w:val="ListBullet"/>
      </w:pPr>
      <w:r>
        <w:t>Preparation and prosecution: drafting specifications and claims from an inventor's disclosure, responding to office actions, conducting examiner interviews, and managing continuation and divisional filings within a family.</w:t>
      </w:r>
    </w:p>
    <w:p>
      <w:pPr>
        <w:pStyle w:val="ListBullet"/>
      </w:pPr>
      <w:r>
        <w:t>Portfolio review and management: periodic reviews organized by patent family, covering what is pending, what has issued, which response dates and maintenance fees fall due, and where the claims have drifted away from the products they are meant to protect.</w:t>
      </w:r>
    </w:p>
    <w:p>
      <w:pPr>
        <w:pStyle w:val="ListBullet"/>
      </w:pPr>
      <w:r>
        <w:t>Freedom-to-operate and validity analysis: privileged memoranda that define their scope at the outset, separate what the record shows from what remains uncertain, and state each conclusion with the qualifications the analysis supports.</w:t>
      </w:r>
    </w:p>
    <w:p>
      <w:pPr>
        <w:pStyle w:val="ListBullet"/>
      </w:pPr>
      <w:r>
        <w:t>Post-grant proceedings: advice on the exposure presented by a petition before the Patent Trial and Appeal Board, and preparation of petitions and patent owner responses where a client decides to proceed.</w:t>
      </w:r>
    </w:p>
    <w:p>
      <w:pPr>
        <w:pStyle w:val="Heading2"/>
      </w:pPr>
      <w:r>
        <w:t>Who the practice is built for</w:t>
      </w:r>
    </w:p>
    <w:p>
      <w:r>
        <w:t>The firm is organized for clients whose value is concentrated in a modest number of technical patent families: medical device companies, university technology licensing offices, and venture-backed hardware companies building a portfolio that a later investor or licensee will examine closely. This overview does not describe the work of any particular client, and the firm will not cite a client's matter in a document of this kind without that client's written consent.</w:t>
      </w:r>
    </w:p>
    <w:p>
      <w:pPr>
        <w:pStyle w:val="Heading2"/>
      </w:pPr>
      <w:r>
        <w:t>How a matter runs</w:t>
      </w:r>
    </w:p>
    <w:p>
      <w:r>
        <w:t>Every matter begins with a conflicts check and a written engagement letter that states the scope of the work, the basis on which it is billed, and what follows if invoices go unpaid, and no substantive work begins until that letter is signed. Mary Bradley, our Managing Partner, reviews each engagement letter before it is sent and assigns every matter a responsible attorney or agent, so that at any point one named person owns the next deadline.</w:t>
      </w:r>
    </w:p>
    <w:p>
      <w:r>
        <w:t>Routine updates go to clients as short emails that cite the docket number and state what happened, what is due next, and who is responsible for it. Longer work, such as a portfolio review or a freedom-to-operate memorandum, is delivered as a structured written document, and where a client's board needs the portfolio summarized, we prepare a short presentation for that purpose.</w:t>
      </w:r>
    </w:p>
    <w:p>
      <w:pPr>
        <w:pStyle w:val="Heading2"/>
      </w:pPr>
      <w:r>
        <w:t>Docket control</w:t>
      </w:r>
    </w:p>
    <w:p>
      <w:r>
        <w:t>We treat the docket as the part of the practice that admits no exceptions, because a missed statutory or response date can cost a client rights that later work cannot recover. Sharon Woods, our Docketing Manager, maintains the firm's docket, sends reminder notices in a fixed format to the responsible attorney or agent well ahead of each date, and escalates any reminder that has not been confirmed in writing.</w:t>
      </w:r>
    </w:p>
    <w:p>
      <w:r>
        <w:t>She also reconciles the docket independently against the patent office's own records, which means that a date entered incorrectly at intake is caught by a second, separate check well before the date itself arrives. An unconfirmed date is treated as an open problem until a named person has taken responsibility for it.</w:t>
      </w:r>
    </w:p>
    <w:p>
      <w:pPr>
        <w:pStyle w:val="Heading2"/>
      </w:pPr>
      <w:r>
        <w:t>How we write</w:t>
      </w:r>
    </w:p>
    <w:p>
      <w:r>
        <w:t>Our opinions are as qualified as the analysis behind them. We will not tell a client that a product does not infringe, or that a patent is invalid, unless the record supports that statement without reservation, and where it does not, the memorandum states what we found, what we could not determine, and what further work would narrow the question.</w:t>
      </w:r>
    </w:p>
    <w:p>
      <w:r>
        <w:t>Every document a client reads identifies the attorneys and agents on the matter by full name and title. Privileged analysis is marked as privileged on its first page, so that its status never has to be inferred.</w:t>
      </w:r>
    </w:p>
    <w:p>
      <w:pPr>
        <w:pStyle w:val="Heading2"/>
      </w:pPr>
      <w:r>
        <w:t>Opening a matter</w:t>
      </w:r>
    </w:p>
    <w:p>
      <w:r>
        <w:t>A prospective client should begin by sending us the names of every party involved, including any parent company, licensor, or co-owner, so that we can complete a conflicts check before any confidential information is exchanged. Once that check is clear, Mary Bradley will arrange an initial call to define the scope of the first engagement and will send the engagement letter that governs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Mary Bradley</dc:creator>
  <cp:keywords/>
  <dc:description>generated by python-docx</dc:description>
  <cp:lastModifiedBy>Mary Bradley</cp:lastModifiedBy>
  <cp:revision>1</cp:revision>
  <dcterms:created xsi:type="dcterms:W3CDTF">2019-06-12T09:00:00Z</dcterms:created>
  <dcterms:modified xsi:type="dcterms:W3CDTF">2019-06-12T09:00:00Z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