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About Hollowell Patent Group PLLC</w:t>
      </w:r>
    </w:p>
    <w:p>
      <w:r>
        <w:t>We prepare and prosecute patent applications, review and maintain the portfolios that result, and advise clients on patents held by others when a product decision or a dispute depends on them. Our technical work is concentrated in medical devices, in inventions that originate in university research, and in the electrical and embedded hardware that early-stage companies build, and each matter is staffed by attorneys and patent agents trained in the field at issue.</w:t>
      </w:r>
    </w:p>
    <w:p>
      <w:r>
        <w:t>This overview sets out the services we provide, the terms on which we accept a matter, and some of the clients whose matters we have completed. It is written for prospective clients and for the advisers who refer them, and it is revised whenever the practice changes in a way a client would need to know.</w:t>
      </w:r>
    </w:p>
    <w:p>
      <w:pPr>
        <w:pStyle w:val="Heading2"/>
      </w:pPr>
      <w:r>
        <w:t>Services</w:t>
      </w:r>
    </w:p>
    <w:p>
      <w:r>
        <w:t>The practice is organized into the service lines below. A client who uses more than one of them signs a separate engagement letter for each, with its own scope, its own staff, and its own fee.</w:t>
      </w:r>
    </w:p>
    <w:p>
      <w:pPr>
        <w:pStyle w:val="ListBullet"/>
      </w:pPr>
      <w:r>
        <w:t>Prosecution. We take an invention from the inventor's first written description to an issued patent, and we plan the filings that follow it so that later claims keep pace with the product as it changes.</w:t>
      </w:r>
    </w:p>
    <w:p>
      <w:pPr>
        <w:pStyle w:val="ListBullet"/>
      </w:pPr>
      <w:r>
        <w:t>Portfolio review. A structured written review of a client's holdings, organized by patent family, that records the status of each application and patent, the costs coming due to keep it in force, and whether its claims still read on what the client sells.</w:t>
      </w:r>
    </w:p>
    <w:p>
      <w:pPr>
        <w:pStyle w:val="ListBullet"/>
      </w:pPr>
      <w:r>
        <w:t>Freedom-to-operate and validity opinions. Privileged written analysis of third-party patents for a client preparing a launch, considering a design change, or answering a demand letter.</w:t>
      </w:r>
    </w:p>
    <w:p>
      <w:pPr>
        <w:pStyle w:val="ListBullet"/>
      </w:pPr>
      <w:r>
        <w:t>Challenges to issued patents. Advice on whether to petition for review of a competitor's patent before the Patent Trial and Appeal Board, and the defense of a client's own patents when another party petitions against them.</w:t>
      </w:r>
    </w:p>
    <w:p>
      <w:pPr>
        <w:pStyle w:val="ListBullet"/>
      </w:pPr>
      <w:r>
        <w:t>Board and investor summaries. A short presentation that puts a portfolio on one page for a board of directors or for an investor conducting diligence.</w:t>
      </w:r>
    </w:p>
    <w:p>
      <w:pPr>
        <w:pStyle w:val="Heading2"/>
      </w:pPr>
      <w:r>
        <w:t>Representative clients</w:t>
      </w:r>
    </w:p>
    <w:p>
      <w:r>
        <w:t>Clients for whom we have completed matters include Odonnell Inc; Middleton, Sullivan and Wiley; and Keith-Duarte. They are named, with each client's consent, as examples of the work and not as a full account of it, and the substance of every client's matter remains confidential and is not described here.</w:t>
      </w:r>
    </w:p>
    <w:p>
      <w:pPr>
        <w:pStyle w:val="Heading2"/>
      </w:pPr>
      <w:r>
        <w:t>Accepting a matter</w:t>
      </w:r>
    </w:p>
    <w:p>
      <w:r>
        <w:t>A matter is accepted only after a conflicts search covering each party the prospective client names, including affiliates and co-owners of the technology, and we decline the matter if that search does not clear. The engagement letter then fixes the scope, lists what is excluded from it, sets the billing basis, and explains the consequences of nonpayment, and we do not begin work on the merits until the client has countersigned it.</w:t>
      </w:r>
    </w:p>
    <w:p>
      <w:r>
        <w:t>Each matter has one responsible attorney or agent, named in the engagement letter, who answers for its deadlines and its correspondence. Between deliverables, that person writes to the client briefly, under the matter's docket number, whenever something has been filed, received from the patent office, or set for a response. We bill by the matter, and the fee basis for each one is stated in its engagement letter before any work is done.</w:t>
      </w:r>
    </w:p>
    <w:p>
      <w:pPr>
        <w:pStyle w:val="Heading2"/>
      </w:pPr>
      <w:r>
        <w:t>Deadlines</w:t>
      </w:r>
    </w:p>
    <w:p>
      <w:r>
        <w:t>A missed date is the one error a patent practice cannot correct after the fact, and the firm is run accordingly. Each statutory, response, and maintenance date is entered when it first arises, checked against the official record by a second person, and assigned to the responsible attorney or agent, and any reminder that goes unacknowledged is escalated to a partner.</w:t>
      </w:r>
    </w:p>
    <w:p>
      <w:pPr>
        <w:pStyle w:val="Heading2"/>
      </w:pPr>
      <w:r>
        <w:t>Written advice</w:t>
      </w:r>
    </w:p>
    <w:p>
      <w:r>
        <w:t>Opinions on infringement and validity are written to the standard a court or an investor might later apply to them. Each one defines its scope before anything else, identifies what was reviewed and what was not, and states no conclusion more firmly than the analysis supports; each carries a privilege legend at the head of the opening page and is checked by a partner before it is sent.</w:t>
      </w:r>
    </w:p>
    <w:p>
      <w:pPr>
        <w:pStyle w:val="Heading2"/>
      </w:pPr>
      <w:r>
        <w:t>Contact</w:t>
      </w:r>
    </w:p>
    <w:p>
      <w:r>
        <w:t>Inquiries about new matters are handled by Mary Bradley, Managing Partner. The first step for a prospective client is a short written description of the technology and of the parties involved, sent to Mary Bradley, who will open a conflicts search on receipt.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Hollowell Patent Group PLLC</w:t>
    </w:r>
  </w:p>
  <w:p>
    <w:r>
      <w:rPr>
        <w:sz w:val="18"/>
      </w:rPr>
      <w:t>www.hollowellpatent.com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Hollowell Patent Group PLLC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 Overview</dc:title>
  <dc:subject/>
  <dc:creator>Mary Bradley</dc:creator>
  <cp:keywords/>
  <dc:description>generated by python-docx</dc:description>
  <cp:lastModifiedBy>Mary Bradley</cp:lastModifiedBy>
  <cp:revision>1</cp:revision>
  <dcterms:created xsi:type="dcterms:W3CDTF">2022-06-11T09:00:00Z</dcterms:created>
  <dcterms:modified xsi:type="dcterms:W3CDTF">2022-06-11T09:00:00Z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