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Hollowell Patent Group PLLC</w:t>
      </w:r>
    </w:p>
    <w:p>
      <w:pPr>
        <w:pStyle w:val="Heading2"/>
      </w:pPr>
      <w:r>
        <w:t>Firm overview</w:t>
      </w:r>
    </w:p>
    <w:p>
      <w:r>
        <w:t>We are a patent boutique. Our attorneys and patent agents prepare and prosecute applications, manage the portfolios those applications become, and give written advice on third-party patents when a client's product or a pending dispute turns on them, with most of our technical work in medical devices, in electrical and embedded systems, and in inventions that begin in university laboratories.</w:t>
      </w:r>
    </w:p>
    <w:p>
      <w:r>
        <w:t>Each matter is staffed with people trained in the relevant technology. Each also has a single named attorney or agent who answers for its dates and its correspondence from the day it opens until the day it closes.</w:t>
      </w:r>
    </w:p>
    <w:p>
      <w:pPr>
        <w:pStyle w:val="Heading2"/>
      </w:pPr>
      <w:r>
        <w:t>Practice areas</w:t>
      </w:r>
    </w:p>
    <w:p>
      <w:r>
        <w:t>The table below summarizes the kinds of matter we take on and what a client has in hand when each one is complete.</w:t>
      </w:r>
    </w:p>
    <w:tbl>
      <w:tblPr>
        <w:tblStyle w:val="TableGrid"/>
        <w:tblW w:type="auto" w:w="0"/>
        <w:tblLook w:firstColumn="1" w:firstRow="1" w:lastColumn="0" w:lastRow="0" w:noHBand="0" w:noVBand="1" w:val="04A0"/>
      </w:tblPr>
      <w:tblGrid>
        <w:gridCol w:w="4320"/>
        <w:gridCol w:w="4320"/>
      </w:tblGrid>
      <w:tr>
        <w:tc>
          <w:tcPr>
            <w:tcW w:type="dxa" w:w="4320"/>
          </w:tcPr>
          <w:p>
            <w:r>
              <w:rPr>
                <w:b/>
              </w:rPr>
              <w:t>Practice area</w:t>
            </w:r>
          </w:p>
        </w:tc>
        <w:tc>
          <w:tcPr>
            <w:tcW w:type="dxa" w:w="4320"/>
          </w:tcPr>
          <w:p>
            <w:r>
              <w:rPr>
                <w:b/>
              </w:rPr>
              <w:t>What the client receives</w:t>
            </w:r>
          </w:p>
        </w:tc>
      </w:tr>
      <w:tr>
        <w:tc>
          <w:tcPr>
            <w:tcW w:type="dxa" w:w="4320"/>
          </w:tcPr>
          <w:p>
            <w:r>
              <w:t>Prosecution</w:t>
            </w:r>
          </w:p>
        </w:tc>
        <w:tc>
          <w:tcPr>
            <w:tcW w:type="dxa" w:w="4320"/>
          </w:tcPr>
          <w:p>
            <w:r>
              <w:t>Applications drafted from the inventor's disclosure, responses to office actions, examiner interviews, and a filing plan for continuations as the product develops</w:t>
            </w:r>
          </w:p>
        </w:tc>
      </w:tr>
      <w:tr>
        <w:tc>
          <w:tcPr>
            <w:tcW w:type="dxa" w:w="4320"/>
          </w:tcPr>
          <w:p>
            <w:r>
              <w:t>Portfolio review</w:t>
            </w:r>
          </w:p>
        </w:tc>
        <w:tc>
          <w:tcPr>
            <w:tcW w:type="dxa" w:w="4320"/>
          </w:tcPr>
          <w:p>
            <w:r>
              <w:t>A written review, family by family, of where each asset stands, what it will cost to keep in force, and how closely its claims track current products</w:t>
            </w:r>
          </w:p>
        </w:tc>
      </w:tr>
      <w:tr>
        <w:tc>
          <w:tcPr>
            <w:tcW w:type="dxa" w:w="4320"/>
          </w:tcPr>
          <w:p>
            <w:r>
              <w:t>Freedom to operate and validity</w:t>
            </w:r>
          </w:p>
        </w:tc>
        <w:tc>
          <w:tcPr>
            <w:tcW w:type="dxa" w:w="4320"/>
          </w:tcPr>
          <w:p>
            <w:r>
              <w:t>A privileged memorandum that defines its scope first, distinguishes established findings from open questions, and qualifies its conclusions to match</w:t>
            </w:r>
          </w:p>
        </w:tc>
      </w:tr>
      <w:tr>
        <w:tc>
          <w:tcPr>
            <w:tcW w:type="dxa" w:w="4320"/>
          </w:tcPr>
          <w:p>
            <w:r>
              <w:t>Clearance before launch</w:t>
            </w:r>
          </w:p>
        </w:tc>
        <w:tc>
          <w:tcPr>
            <w:tcW w:type="dxa" w:w="4320"/>
          </w:tcPr>
          <w:p>
            <w:r>
              <w:t>Searches and a written assessment ahead of a product release, covering the technology and, where the client asks, the proposed product name</w:t>
            </w:r>
          </w:p>
        </w:tc>
      </w:tr>
      <w:tr>
        <w:tc>
          <w:tcPr>
            <w:tcW w:type="dxa" w:w="4320"/>
          </w:tcPr>
          <w:p>
            <w:r>
              <w:t>Post-grant proceedings</w:t>
            </w:r>
          </w:p>
        </w:tc>
        <w:tc>
          <w:tcPr>
            <w:tcW w:type="dxa" w:w="4320"/>
          </w:tcPr>
          <w:p>
            <w:r>
              <w:t>An assessment of whether to challenge a competitor's patent after grant, and representation of the client when its issued patents are challenged</w:t>
            </w:r>
          </w:p>
        </w:tc>
      </w:tr>
      <w:tr>
        <w:tc>
          <w:tcPr>
            <w:tcW w:type="dxa" w:w="4320"/>
          </w:tcPr>
          <w:p>
            <w:r>
              <w:t>Board presentations</w:t>
            </w:r>
          </w:p>
        </w:tc>
        <w:tc>
          <w:tcPr>
            <w:tcW w:type="dxa" w:w="4320"/>
          </w:tcPr>
          <w:p>
            <w:r>
              <w:t>A short deck that summarizes the whole portfolio on a single slide for directors or investors</w:t>
            </w:r>
          </w:p>
        </w:tc>
      </w:tr>
    </w:tbl>
    <w:p>
      <w:pPr>
        <w:pStyle w:val="Heading2"/>
      </w:pPr>
      <w:r>
        <w:t>Representative completed work</w:t>
      </w:r>
    </w:p>
    <w:p>
      <w:r>
        <w:t>Matters we have concluded include work for Odonnell Inc; Middleton, Sullivan and Wiley; Keith-Duarte; and Jackson Inc. We list them with their permission to illustrate the range of the practice. The list is a sample, and it says nothing about the content of any client's matter.</w:t>
      </w:r>
    </w:p>
    <w:p>
      <w:r>
        <w:t>A client is named in material like this only after its matter has closed. Open work stays confidential and is discussed only with the client concerned.</w:t>
      </w:r>
    </w:p>
    <w:p>
      <w:pPr>
        <w:pStyle w:val="Heading2"/>
      </w:pPr>
      <w:r>
        <w:t>Opening a matter</w:t>
      </w:r>
    </w:p>
    <w:p>
      <w:r>
        <w:t>We open a matter in three steps, in this order: a conflicts search across every party the client identifies, an engagement letter that sets out the scope, the exclusions, the billing basis, and what happens on nonpayment, and the client's countersignature on that letter. Nothing substantive is done before the third step, because work performed before the scope is agreed is work the client has not authorized.</w:t>
      </w:r>
    </w:p>
    <w:p>
      <w:r>
        <w:t>On nonpayment the letter is specific: it states when work on the matter stops and when we will withdraw from it, where the professional rules permit withdrawal, and we follow that provision as written. Clients are told this at the outset so that it never comes as a surprise.</w:t>
      </w:r>
    </w:p>
    <w:p>
      <w:pPr>
        <w:pStyle w:val="Heading2"/>
      </w:pPr>
      <w:r>
        <w:t>Correspondence</w:t>
      </w:r>
    </w:p>
    <w:p>
      <w:r>
        <w:t>Routine news on a matter, such as a filing made, an office action received, or a response period opened, reaches the client as a short email that cites the docket number. Longer work arrives as a written deliverable organized under headings, identifying by name and title every attorney and agent who worked on it, and an opinion is marked as privileged and goes out only after a partner has reviewed it.</w:t>
      </w:r>
    </w:p>
    <w:p>
      <w:pPr>
        <w:pStyle w:val="Heading2"/>
      </w:pPr>
      <w:r>
        <w:t>Docketing</w:t>
      </w:r>
    </w:p>
    <w:p>
      <w:r>
        <w:t>Every date on which a client's rights depend, whether a statutory bar, a response period, or a maintenance payment, is entered as soon as it arises and verified a second time, by someone other than the person who entered it, against what the patent office shows. The responsible attorney or agent acknowledges each reminder in writing, and a reminder left unacknowledged goes to a partner the same day.</w:t>
      </w:r>
    </w:p>
    <w:p>
      <w:pPr>
        <w:pStyle w:val="Heading2"/>
      </w:pPr>
      <w:r>
        <w:t>How to reach us</w:t>
      </w:r>
    </w:p>
    <w:p>
      <w:r>
        <w:t>Mary Bradley, Managing Partner, handles inquiries about new matters. Anyone considering the firm for a new matter should begin with a brief note to her identifying the client, any co-owner of the technology, and any party the client expects to be adverse, after which she will confirm whether the firm is free to act before a first call is scheduled.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Mary Bradley</dc:creator>
  <cp:keywords/>
  <dc:description>generated by python-docx</dc:description>
  <cp:lastModifiedBy>Mary Bradley</cp:lastModifiedBy>
  <cp:revision>1</cp:revision>
  <dcterms:created xsi:type="dcterms:W3CDTF">2025-06-10T09:00:00Z</dcterms:created>
  <dcterms:modified xsi:type="dcterms:W3CDTF">2025-06-10T09:00:00Z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