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Onboarding record: Richard Henderson, Patent Agent</w:t>
      </w:r>
    </w:p>
    <w:p>
      <w:r>
        <w:t>Richard Henderson joined Hollowell Patent Group a week ago as a Patent Agent in the Prosecution group, and this record sets out where he sits in the practice, what his first period here involves, and what the firm expects of him by the end of it. We are glad to have him, and glad in particular to have an agent whose engineering training runs to mechanical and medical device subject matter, which suits the applications the firm expects to prepare. He joins a small Prosecution group, which means he will see a wider range of the firm's work earlier than he might at a larger practice, and he is expected to say so when a matter outruns what he knows.</w:t>
      </w:r>
    </w:p>
    <w:p>
      <w:r>
        <w:t>Richard reports to Heather Munoz, Partner, who will assign his matters, review his drafts, and be the first person he goes to with a question of scope or strategy. For the first several weeks his work will consist of drafting specifications and claim sets from inventor disclosures, preparing first drafts of office action responses, and sitting in on examiner interviews, with every filing reviewed by Heather Munoz before it goes to the patent office until she is satisfied that a second read is no longer needed. She will also decide when he begins to handle examiner interviews on his own, and that decision will turn on the quality of his interview summaries more than on the number of weeks he has been here.</w:t>
      </w:r>
    </w:p>
    <w:p>
      <w:r>
        <w:t>The docket comes before everything else here: every response date on a matter Richard works is entered and tracked centrally, reminders reach him in a fixed format, and each one is to be confirmed in writing on the day it arrives, since an unconfirmed date is escalated without further notice to him. Where a date cannot be met, he should say so in writing as soon as he knows, to Heather Munoz and to docketing together, without waiting for the next reminder. He should also expect that anything he writes for a client names him and every other attorney or agent on the matter by full name and title, and that any analysis touching validity or infringement is read by a partner before it leaves the firm.</w:t>
      </w:r>
    </w:p>
    <w:p>
      <w:r>
        <w:t>His office, building access, and accounts on the docket and document systems were set up before he arrived, and his conflicts questionnaire and confidentiality acknowledgment are on file. Mary Bradley will meet with him at the end of his first month to review how the work has gone, and before that meeting he should read the firm's drafting and docketing procedures in full and take any questions about them to Heather Munoz.</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Richard Henderson</dc:title>
  <dc:subject/>
  <dc:creator>Mary Bradley</dc:creator>
  <cp:keywords/>
  <dc:description>generated by python-docx</dc:description>
  <cp:lastModifiedBy>Mary Bradley</cp:lastModifiedBy>
  <cp:revision>1</cp:revision>
  <dcterms:created xsi:type="dcterms:W3CDTF">2019-10-24T09:00:00Z</dcterms:created>
  <dcterms:modified xsi:type="dcterms:W3CDTF">2019-10-24T09:00:00Z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