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hire: Joseph Walker, Associate</w:t>
      </w:r>
    </w:p>
    <w:p>
      <w:r>
        <w:t>Joseph Walker joined the firm last week as an Associate in the Prosecution group, and this record is written as he begins his second week so that the terms of his first period here are set down while they are still current. He comes to us with a stated interest in freedom-to-operate and validity work, and his first assignments will be chosen to give him a grounding in prosecution together with some exposure to that analysis under close review. Freedom-to-operate work is where the firm's writing is read most closely, by clients and in some cases by opposing counsel years later, so it is also where a new associate is given the least latitude at first.</w:t>
      </w:r>
    </w:p>
    <w:p>
      <w:r>
        <w:t>Joseph reports to Heather Munoz, Partner, who assigns his matters and reviews his drafts, and no memorandum or opinion he prepares goes to a client until she has read it and agreed with its conclusions as written. That is not a judgment on his ability, since the firm applies the same review to every opinion on infringement or validity regardless of who drafts it, and he should expect his conclusions to come back with their qualifications tightened more often than loosened.</w:t>
      </w:r>
    </w:p>
    <w:p>
      <w:r>
        <w:t>For the first period, responsibilities are divided as follows:</w:t>
      </w:r>
    </w:p>
    <w:p>
      <w:pPr>
        <w:pStyle w:val="ListBullet"/>
      </w:pPr>
      <w:r>
        <w:t>Joseph Walker: complete the conflicts and confidentiality acknowledgments, read the drafting and docketing procedures in full, and confirm every docket reminder in writing on the day it arrives.</w:t>
      </w:r>
    </w:p>
    <w:p>
      <w:pPr>
        <w:pStyle w:val="ListBullet"/>
      </w:pPr>
      <w:r>
        <w:t>Heather Munoz: assign his first matters, review each draft before it is filed or sent, and decide when his work can go out on a lighter review.</w:t>
      </w:r>
    </w:p>
    <w:p>
      <w:pPr>
        <w:pStyle w:val="ListBullet"/>
      </w:pPr>
      <w:r>
        <w:t>Operations: finish setting up his laptop, remote access, and accounts on the docket and document systems.</w:t>
      </w:r>
    </w:p>
    <w:p>
      <w:pPr>
        <w:pStyle w:val="ListBullet"/>
      </w:pPr>
      <w:r>
        <w:t>Mary Bradley: meet with him at the end of his first month to review how the work has gone and whether his assignments should change.</w:t>
      </w:r>
    </w:p>
    <w:p>
      <w:r>
        <w:t>Anything he writes for a client should name him and every other attorney or agent on the matter by full name and title, and any privileged analysis should carry the legend at the top of its first page. If a client asks him for a view on infringement or validity before that review is complete, the answer is that the firm will respond in writing once the analysis has been reviewed. His next step is to sit down with Heather Munoz this week and agree on his first assignment, once the acknowledgments above are signed and returned.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Hollowell Patent Group PLLC</w:t>
    </w:r>
  </w:p>
  <w:p>
    <w:r>
      <w:rPr>
        <w:sz w:val="18"/>
      </w:rPr>
      <w:t>www.hollowellpatent.com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Hollowell Patent Group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Joseph Walker</dc:title>
  <dc:subject/>
  <dc:creator>Mary Bradley</dc:creator>
  <cp:keywords/>
  <dc:description>generated by python-docx</dc:description>
  <cp:lastModifiedBy>Mary Bradley</cp:lastModifiedBy>
  <cp:revision>1</cp:revision>
  <dcterms:created xsi:type="dcterms:W3CDTF">2021-01-25T09:00:00Z</dcterms:created>
  <dcterms:modified xsi:type="dcterms:W3CDTF">2021-01-25T09:00:00Z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