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and first-period record: Matthew Parrish</w:t>
      </w:r>
    </w:p>
    <w:p>
      <w:r>
        <w:t>Matthew Parrish has now completed his first week as a member of the Prosecution group, where he holds the title of Patent Agent, and the firm is pleased to have him. He was hired principally for search work, and in the ordinary course he will run the prior art searches that support new applications and opinions and prepare the first draft of the landscape tables that go into our portfolio reviews. His first assignments will come from matters already open in the group, so that he learns the firm's search conventions on work whose scope has been settled.</w:t>
      </w:r>
    </w:p>
    <w:p>
      <w:r>
        <w:t>Matthew reports to Heather Munoz, Partner. She hands out his searches, sets the scope of each one in writing before he begins, and checks the results before any of them are relied on in a filing or a memorandum. His search results go to the responsible attorney and not directly to the client, and each write-up should state which collections, classifications, and date ranges were searched and where coverage may be thin, because the attorney who signs an opinion has to know the limits of the search beneath it. He has said that he would rather leave client-facing drafting to the attorneys, and that suits the role as the firm has defined it.</w:t>
      </w:r>
    </w:p>
    <w:p>
      <w:r>
        <w:t>His workstation, building access card, and logins for the docket and the document management system were in place on his first day, and he has signed the confidentiality agreement and listed his prior employers and personal holdings for the conflicts file. Every search is opened under the client's matter number so that his time is recorded against the right matter, and any date he comes across in the course of a search, such as a response period in a related family, goes to docketing the same day it is found. Database charges are booked to the matter as well, and a search that looks likely to run past its estimate should be raised with Heather Munoz before it does.</w:t>
      </w:r>
    </w:p>
    <w:p>
      <w:r>
        <w:t>Mary Bradley will sit down with Matthew and Heather Munoz together once he has finished his first full portfolio landscape, to decide which kinds of search he can then take on with only spot review. Before anything else, he and Heather Munoz will agree the written scope of his first search, and he will run no query until that is done.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Matthew Parrish</dc:title>
  <dc:subject/>
  <dc:creator>Mary Bradley</dc:creator>
  <cp:keywords/>
  <dc:description>generated by python-docx</dc:description>
  <cp:lastModifiedBy>Mary Bradley</cp:lastModifiedBy>
  <cp:revision>1</cp:revision>
  <dcterms:created xsi:type="dcterms:W3CDTF">2023-01-14T09:00:00Z</dcterms:created>
  <dcterms:modified xsi:type="dcterms:W3CDTF">2023-01-14T09:00:00Z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