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Chang: record of onboarding</w:t>
      </w:r>
    </w:p>
    <w:p>
      <w:r>
        <w:t>This record covers the start of David Chang's time with the firm, now one week in, as one of the Patent Agents in Prosecution, and it sets down his role, his reporting line, and what is expected of him over his first period. His matters will be drawn mainly from electrical and embedded-systems applications, where the claims depend on how the hardware and its firmware actually behave. He will also be asked from time to time to read a colleague's draft where a claim turns on firmware behavior, and that reading is advisory, with the responsible attorney or agent keeping the decision.</w:t>
      </w:r>
    </w:p>
    <w:p>
      <w:r>
        <w:t>David reports to Heather Munoz, Partner, and his matters come to him from her, as does the review of each new application and each office action response before it is filed. He prefers to settle a disputed claim interpretation with the examiner by telephone before committing a position to writing, which the firm encourages, and every such interview is to be summarized in the file on the day it takes place and copied to Heather Munoz.</w:t>
      </w:r>
    </w:p>
    <w:p>
      <w:r>
        <w:t>Patent agents at this firm prosecute applications; opinions on infringement or validity belong to counsel and are signed by an attorney, so when a client asks David for a view of that kind, he should say that he will put the question to the responsible attorney and then do so the same day. Over the coming weeks, the work is divided as follows:</w:t>
      </w:r>
    </w:p>
    <w:p>
      <w:pPr>
        <w:pStyle w:val="ListBullet"/>
      </w:pPr>
      <w:r>
        <w:t>David Chang: return his conflicts disclosure and the firm's confidentiality agreement, spend a morning with docketing to learn how dates are entered and verified, and acknowledge each docket reminder in writing when it reaches him.</w:t>
      </w:r>
    </w:p>
    <w:p>
      <w:pPr>
        <w:pStyle w:val="ListBullet"/>
      </w:pPr>
      <w:r>
        <w:t>Heather Munoz: choose the matters he starts on, read every application and response before it is filed, and decide when that reading can be narrowed.</w:t>
      </w:r>
    </w:p>
    <w:p>
      <w:pPr>
        <w:pStyle w:val="ListBullet"/>
      </w:pPr>
      <w:r>
        <w:t>Mary Bradley: review his progress with Heather Munoz once his first responses have been filed, and confirm his matter assignments for the period that follows.</w:t>
      </w:r>
    </w:p>
    <w:p>
      <w:r>
        <w:t>His accounts, building access, and workstation are already set up, and his time is to be recorded daily against each matter number, since the firm bills by the matter and a client is entitled to see where the hours went. The next step is for David to take over the office action responses that Heather Munoz has set aside for him, beginning with the one whose response date falls first.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David Chang</dc:title>
  <dc:subject/>
  <dc:creator>Mary Bradley</dc:creator>
  <cp:keywords/>
  <dc:description>generated by python-docx</dc:description>
  <cp:lastModifiedBy>Mary Bradley</cp:lastModifiedBy>
  <cp:revision>1</cp:revision>
  <dcterms:created xsi:type="dcterms:W3CDTF">2024-03-02T09:00:00Z</dcterms:created>
  <dcterms:modified xsi:type="dcterms:W3CDTF">2024-03-02T09:00:00Z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