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Robert Lawrence, Jeffrey Ochoa, Megan Dudley</w:t>
        <w:br/>
        <w:t>From: David Sherman, Senior Analyst</w:t>
        <w:br/>
        <w:t>Subject: Experience study for Estes Group, opening plan</w:t>
      </w:r>
    </w:p>
    <w:p>
      <w:r>
        <w:t>The study is set up and waiting on data; the census files are the only item holding up the first counts. Work began on February 4, 2019. Our objective is a set of recommended assumptions for the Estes Group retirement plan, covering retirement, termination, disability, mortality, and salary increase, each supported by the plan's own experience as far as the data allow and by a stated judgment where they do not. Barbara Hall, Chief Operating Officer, is our client contact. Requests to the company go through her office, and any change to scope needs her agreement before we act on it.</w:t>
      </w:r>
    </w:p>
    <w:p>
      <w:r>
        <w:t>One rule applies to every item below. Each table will carry the observed rate and the recommended rate in separate columns, and the two are not interchangeable. The observed rate is a measurement and should be reproducible by anyone holding the same files. The recommended rate is a judgment. Its reason belongs in the working file at the time the judgment is made, in a sentence Robert can review and, if he accepts it, carry into the report.</w:t>
      </w:r>
    </w:p>
    <w:p>
      <w:pPr>
        <w:pStyle w:val="Heading2"/>
      </w:pPr>
      <w:r>
        <w:t>How the work is divided</w:t>
      </w:r>
    </w:p>
    <w:p>
      <w:pPr>
        <w:pStyle w:val="ListBullet"/>
      </w:pPr>
      <w:r>
        <w:t>1. Data intake and linking: David Sherman. Load each year's census as received, link members across years, and classify every change in status. Each year's closing count must equal the following year's opening count, or the difference must be explained in the data log.</w:t>
      </w:r>
    </w:p>
    <w:p>
      <w:pPr>
        <w:pStyle w:val="ListBullet"/>
      </w:pPr>
      <w:r>
        <w:t>2. Client questions on data: Megan Dudley. Megan is the single contact for the client's staff on files, missing records, and corrections. Questions go out in batches, and each one states what we will assume if no answer comes back.</w:t>
      </w:r>
    </w:p>
    <w:p>
      <w:pPr>
        <w:pStyle w:val="ListBullet"/>
      </w:pPr>
      <w:r>
        <w:t>3. Decrement tables: Jeffrey Ochoa. Build exposures and actual decrements by age and service for retirement, termination, disability, and death, and compute expected decrements under the current assumptions. The table layouts are to be agreed with Robert before any data run through them.</w:t>
      </w:r>
    </w:p>
    <w:p>
      <w:pPr>
        <w:pStyle w:val="ListBullet"/>
      </w:pPr>
      <w:r>
        <w:t>4. Salary experience: Jeffrey Ochoa, with David Sherman. Measure pay increases by service for members active in consecutive years. Exclude any record where a pay change coincides with a change in status, and log the exclusions.</w:t>
      </w:r>
    </w:p>
    <w:p>
      <w:pPr>
        <w:pStyle w:val="ListBullet"/>
      </w:pPr>
      <w:r>
        <w:t>5. Recommendations and report: Robert Lawrence. Robert reviews each recommended assumption against its table and its stated reason, settles any open question of judgment, and signs the report.</w:t>
      </w:r>
    </w:p>
    <w:p>
      <w:r>
        <w:t>No result exists yet, and none should be described to the client as one. Until the data are closed, any figure that leaves this team, including in internal email, should be marked preliminary and should say which files it rests on.</w:t>
      </w:r>
    </w:p>
    <w:p>
      <w:pPr>
        <w:pStyle w:val="Heading2"/>
      </w:pPr>
      <w:r>
        <w:t>Before the files arrive</w:t>
      </w:r>
    </w:p>
    <w:p>
      <w:pPr>
        <w:pStyle w:val="ListBullet"/>
      </w:pPr>
      <w:r>
        <w:t>1. Megan Dudley sends the data request to Barbara Hall this week. It repeats the file list from the engagement letter and attaches our preferred layout as a suggestion only; files in the company's own format are acceptable.</w:t>
      </w:r>
    </w:p>
    <w:p>
      <w:pPr>
        <w:pStyle w:val="ListBullet"/>
      </w:pPr>
      <w:r>
        <w:t>2. David Sherman sets up the study files and the data log, and enters the current assumptions from the most recent valuation report so that expected decrements can be computed as soon as data are loaded.</w:t>
      </w:r>
    </w:p>
    <w:p>
      <w:pPr>
        <w:pStyle w:val="ListBullet"/>
      </w:pPr>
      <w:r>
        <w:t>3. Jeffrey Ochoa drafts the table shells and proposed age and service bands for Robert's review.</w:t>
      </w:r>
    </w:p>
    <w:p>
      <w:pPr>
        <w:pStyle w:val="ListBullet"/>
      </w:pPr>
      <w:r>
        <w:t>4. Robert Lawrence confirms the assumptions in scope against the engagement letter and sets the study period once we know which years of data the company can supply.</w:t>
      </w:r>
    </w:p>
    <w:p>
      <w:r>
        <w:t>We will meet weekly while the data are open. I will circulate the data log before each meeting.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Experience Study for Estes Group</dc:title>
  <dc:subject/>
  <dc:creator>David Sherman</dc:creator>
  <cp:keywords/>
  <dc:description>generated by python-docx</dc:description>
  <cp:lastModifiedBy>David Sherman</cp:lastModifiedBy>
  <cp:revision>1</cp:revision>
  <dcterms:created xsi:type="dcterms:W3CDTF">2019-02-07T09:00:00Z</dcterms:created>
  <dcterms:modified xsi:type="dcterms:W3CDTF">2019-02-07T09:00:00Z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