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Experience Study: Status at the Midpoint</w:t>
      </w:r>
    </w:p>
    <w:p>
      <w:r>
        <w:t>For Estes Group. Prepared by David Sherman, Senior Analyst. The study is at its midpoint. This report sets out the work done so far and what remains, and it makes no recommendation on any assumption.</w:t>
      </w:r>
    </w:p>
    <w:p>
      <w:pPr>
        <w:pStyle w:val="Heading2"/>
      </w:pPr>
      <w:r>
        <w:t>In Brief</w:t>
      </w:r>
    </w:p>
    <w:p>
      <w:r>
        <w:t>The data work for terminations, retirements and mortality is finished. The status history reconciles to the census in every year of the study period, and the experience for each of the three has been tabulated against the current assumptions. No assumption has yet been recommended. The study is on schedule and within budget.</w:t>
      </w:r>
    </w:p>
    <w:p>
      <w:r>
        <w:t>One piece of data is still outstanding. The salary increase analysis needs the pay history for the earliest years of the study period, which we requested in the data summary. That analysis cannot start until the history arrives, and it is the item most likely to affect the schedule.</w:t>
      </w:r>
    </w:p>
    <w:p>
      <w:pPr>
        <w:pStyle w:val="Heading2"/>
      </w:pPr>
      <w:r>
        <w:t>Work Completed This Period</w:t>
      </w:r>
    </w:p>
    <w:p>
      <w:r>
        <w:t>1. We reconciled the status history to the year-end census for every year of the study period. The last gap, a group of internal transfers that payroll had recorded as new hires, closed when Megan Dudley linked the old and new employee numbers your staff supplied.</w:t>
      </w:r>
    </w:p>
    <w:p>
      <w:r>
        <w:t>2. We received dates of birth for all but a few of the retiree records that lacked them. As agreed at the working session, the remaining records are excluded from the mortality tabulation, and the data summary lists each one.</w:t>
      </w:r>
    </w:p>
    <w:p>
      <w:r>
        <w:t>3. We issued the data summary. It records every change made to the files, the source of each change, and every record excluded.</w:t>
      </w:r>
    </w:p>
    <w:p>
      <w:r>
        <w:t>4. Jeffrey Ochoa split the early-service termination results by year of hire. The higher rate of departure appears in each hiring year, not in one, so it does not look like the effect of a single unusual year.</w:t>
      </w:r>
    </w:p>
    <w:p>
      <w:r>
        <w:t>5. Robert Lawrence reviewed the tabulations and the approach to credibility. Drafting of the recommendations can begin.</w:t>
      </w:r>
    </w:p>
    <w:p>
      <w:pPr>
        <w:pStyle w:val="Heading2"/>
      </w:pPr>
      <w:r>
        <w:t>Observed Experience</w:t>
      </w:r>
    </w:p>
    <w:p>
      <w:r>
        <w:t>The table compares the experience the plan recorded with what the current assumptions predicted. These are measurements. None of them is a recommendation, and none should be read as a decision to change a 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Decrement</w:t>
            </w:r>
          </w:p>
        </w:tc>
        <w:tc>
          <w:tcPr>
            <w:tcW w:type="dxa" w:w="2880"/>
          </w:tcPr>
          <w:p>
            <w:r>
              <w:rPr>
                <w:b/>
              </w:rPr>
              <w:t>What the data show</w:t>
            </w:r>
          </w:p>
        </w:tc>
        <w:tc>
          <w:tcPr>
            <w:tcW w:type="dxa" w:w="2880"/>
          </w:tcPr>
          <w:p>
            <w:r>
              <w:rPr>
                <w:b/>
              </w:rPr>
              <w:t>Credibility of the plan's own data</w:t>
            </w:r>
          </w:p>
        </w:tc>
      </w:tr>
      <w:tr>
        <w:tc>
          <w:tcPr>
            <w:tcW w:type="dxa" w:w="2880"/>
          </w:tcPr>
          <w:p>
            <w:r>
              <w:t>Terminations</w:t>
            </w:r>
          </w:p>
        </w:tc>
        <w:tc>
          <w:tcPr>
            <w:tcW w:type="dxa" w:w="2880"/>
          </w:tcPr>
          <w:p>
            <w:r>
              <w:t>More departures than expected in the first years of service and fewer than expected after that. The pattern holds in each hiring year.</w:t>
            </w:r>
          </w:p>
        </w:tc>
        <w:tc>
          <w:tcPr>
            <w:tcW w:type="dxa" w:w="2880"/>
          </w:tcPr>
          <w:p>
            <w:r>
              <w:t>Adequate in the early service years; thinner at longer service</w:t>
            </w:r>
          </w:p>
        </w:tc>
      </w:tr>
      <w:tr>
        <w:tc>
          <w:tcPr>
            <w:tcW w:type="dxa" w:w="2880"/>
          </w:tcPr>
          <w:p>
            <w:r>
              <w:t>Retirements</w:t>
            </w:r>
          </w:p>
        </w:tc>
        <w:tc>
          <w:tcPr>
            <w:tcW w:type="dxa" w:w="2880"/>
          </w:tcPr>
          <w:p>
            <w:r>
              <w:t>Fewer than expected in the early retirement window; close to expected at older ages</w:t>
            </w:r>
          </w:p>
        </w:tc>
        <w:tc>
          <w:tcPr>
            <w:tcW w:type="dxa" w:w="2880"/>
          </w:tcPr>
          <w:p>
            <w:r>
              <w:t>Adequate at the ages where most retirements occur</w:t>
            </w:r>
          </w:p>
        </w:tc>
      </w:tr>
      <w:tr>
        <w:tc>
          <w:tcPr>
            <w:tcW w:type="dxa" w:w="2880"/>
          </w:tcPr>
          <w:p>
            <w:r>
              <w:t>Mortality</w:t>
            </w:r>
          </w:p>
        </w:tc>
        <w:tc>
          <w:tcPr>
            <w:tcW w:type="dxa" w:w="2880"/>
          </w:tcPr>
          <w:p>
            <w:r>
              <w:t>Fewer retiree deaths than the current table predicts</w:t>
            </w:r>
          </w:p>
        </w:tc>
        <w:tc>
          <w:tcPr>
            <w:tcW w:type="dxa" w:w="2880"/>
          </w:tcPr>
          <w:p>
            <w:r>
              <w:t>Limited; the number of deaths is small</w:t>
            </w:r>
          </w:p>
        </w:tc>
      </w:tr>
    </w:tbl>
    <w:p>
      <w:pPr>
        <w:pStyle w:val="Heading2"/>
      </w:pPr>
      <w:r>
        <w:t>What We Have Assumed</w:t>
      </w:r>
    </w:p>
    <w:p>
      <w:r>
        <w:t>We have relied on the census, the status history and the benefit records as your staff provided them. We reviewed them for consistency and completeness, as ASOP No. 23 requires, but we have not audited them.</w:t>
      </w:r>
    </w:p>
    <w:p>
      <w:r>
        <w:t>Three treatments in the tabulations are our choices, not facts in the data, and the report will state each of them. Transferred employees are carried as continuing service. Rehired employees re-enter the active group from the date of rehire. Retiree records without a date of birth are left out instead of being given an assumed age.</w:t>
      </w:r>
    </w:p>
    <w:p>
      <w:pPr>
        <w:pStyle w:val="Heading2"/>
      </w:pPr>
      <w:r>
        <w:t>Budget</w:t>
      </w:r>
    </w:p>
    <w:p>
      <w:r>
        <w:t>Time charged through the midpoint is consistent with the fee of $65,000 set out in the engagement letter, and we do not expect the remaining work to exceed it. If the pay history needs a second request or substantial correction, the added work could affect that expectation. We will raise it with you before that work begins.</w:t>
      </w:r>
    </w:p>
    <w:p>
      <w:pPr>
        <w:pStyle w:val="Heading2"/>
      </w:pPr>
      <w:r>
        <w:t>Work Remaining</w:t>
      </w:r>
    </w:p>
    <w:p>
      <w:r>
        <w:t>1. The salary increase analysis, once the pay history for the earliest years arrives. David Sherman will lead it.</w:t>
      </w:r>
    </w:p>
    <w:p>
      <w:r>
        <w:t>2. Draft recommended assumptions for termination, retirement and mortality. Jeffrey Ochoa will prepare them, with the basis for each and the weight given to the plan's own experience. The mortality recommendation will also address future improvement, measured against the MP-2018 scale the Society of Actuaries published last October.</w:t>
      </w:r>
    </w:p>
    <w:p>
      <w:r>
        <w:t>3. A working session with your staff to go through the draft recommendations before the report is written.</w:t>
      </w:r>
    </w:p>
    <w:p>
      <w:r>
        <w:t>4. The draft report, followed by the final report once your comments are addressed. Robert Lawrence will sign the final report.</w:t>
      </w:r>
    </w:p>
    <w:p>
      <w:pPr>
        <w:pStyle w:val="Heading2"/>
      </w:pPr>
      <w:r>
        <w:t>Risks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Effect if it occurs</w:t>
            </w:r>
          </w:p>
        </w:tc>
        <w:tc>
          <w:tcPr>
            <w:tcW w:type="dxa" w:w="2880"/>
          </w:tcPr>
          <w:p>
            <w:r>
              <w:rPr>
                <w:b/>
              </w:rPr>
              <w:t>How we will handle it</w:t>
            </w:r>
          </w:p>
        </w:tc>
      </w:tr>
      <w:tr>
        <w:tc>
          <w:tcPr>
            <w:tcW w:type="dxa" w:w="2880"/>
          </w:tcPr>
          <w:p>
            <w:r>
              <w:t>The pay history for the earliest years is late or incomplete</w:t>
            </w:r>
          </w:p>
        </w:tc>
        <w:tc>
          <w:tcPr>
            <w:tcW w:type="dxa" w:w="2880"/>
          </w:tcPr>
          <w:p>
            <w:r>
              <w:t>The salary increase analysis would cover a shorter period</w:t>
            </w:r>
          </w:p>
        </w:tc>
        <w:tc>
          <w:tcPr>
            <w:tcW w:type="dxa" w:w="2880"/>
          </w:tcPr>
          <w:p>
            <w:r>
              <w:t>Proceed on the years available and state the shorter period in the report</w:t>
            </w:r>
          </w:p>
        </w:tc>
      </w:tr>
      <w:tr>
        <w:tc>
          <w:tcPr>
            <w:tcW w:type="dxa" w:w="2880"/>
          </w:tcPr>
          <w:p>
            <w:r>
              <w:t>Mortality experience remains thin</w:t>
            </w:r>
          </w:p>
        </w:tc>
        <w:tc>
          <w:tcPr>
            <w:tcW w:type="dxa" w:w="2880"/>
          </w:tcPr>
          <w:p>
            <w:r>
              <w:t>The plan's own deaths cannot set the mortality rates alone</w:t>
            </w:r>
          </w:p>
        </w:tc>
        <w:tc>
          <w:tcPr>
            <w:tcW w:type="dxa" w:w="2880"/>
          </w:tcPr>
          <w:p>
            <w:r>
              <w:t>Weight the plan's experience against a published table and show the weight given</w:t>
            </w:r>
          </w:p>
        </w:tc>
      </w:tr>
      <w:tr>
        <w:tc>
          <w:tcPr>
            <w:tcW w:type="dxa" w:w="2880"/>
          </w:tcPr>
          <w:p>
            <w:r>
              <w:t>A data correction arrives after the data summary</w:t>
            </w:r>
          </w:p>
        </w:tc>
        <w:tc>
          <w:tcPr>
            <w:tcW w:type="dxa" w:w="2880"/>
          </w:tcPr>
          <w:p>
            <w:r>
              <w:t>The affected tabulations would need to be rerun</w:t>
            </w:r>
          </w:p>
        </w:tc>
        <w:tc>
          <w:tcPr>
            <w:tcW w:type="dxa" w:w="2880"/>
          </w:tcPr>
          <w:p>
            <w:r>
              <w:t>Tell you before any rerun changes the schedule</w:t>
            </w:r>
          </w:p>
        </w:tc>
      </w:tr>
      <w:tr>
        <w:tc>
          <w:tcPr>
            <w:tcW w:type="dxa" w:w="2880"/>
          </w:tcPr>
          <w:p>
            <w:r>
              <w:t>A change to retirement eligibility is under consideration</w:t>
            </w:r>
          </w:p>
        </w:tc>
        <w:tc>
          <w:tcPr>
            <w:tcW w:type="dxa" w:w="2880"/>
          </w:tcPr>
          <w:p>
            <w:r>
              <w:t>Past retirement experience would be a weaker guide to future rates</w:t>
            </w:r>
          </w:p>
        </w:tc>
        <w:tc>
          <w:tcPr>
            <w:tcW w:type="dxa" w:w="2880"/>
          </w:tcPr>
          <w:p>
            <w:r>
              <w:t>Ask that you tell us of any such change now, so the recommendations can address it</w:t>
            </w:r>
          </w:p>
        </w:tc>
      </w:tr>
    </w:tbl>
    <w:p>
      <w:r>
        <w:t>Megan Dudley will continue to handle data questions with your benefits staff. For anything in this report, please contact me directly. Questions about the tabulations themselves are best put to Jeffrey Ochoa.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Experience Study for Estes Group</dc:title>
  <dc:subject/>
  <dc:creator>David Sherman</dc:creator>
  <cp:keywords/>
  <dc:description>generated by python-docx</dc:description>
  <cp:lastModifiedBy>David Sherman</cp:lastModifiedBy>
  <cp:revision>1</cp:revision>
  <dcterms:created xsi:type="dcterms:W3CDTF">2019-03-30T09:00:00Z</dcterms:created>
  <dcterms:modified xsi:type="dcterms:W3CDTF">2019-03-30T09:00:00Z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