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Experience Study Working Session: Minutes</w:t>
      </w:r>
    </w:p>
    <w:p>
      <w:r>
        <w:t>Experience study for Estes Group. Working session held by conference call, with the first tabulations circulated to attendees the day before.</w:t>
      </w:r>
    </w:p>
    <w:p>
      <w:r>
        <w:t>We met to settle the data the study relies on and to take a first look at the plan's experience. Recommended assumptions were not on the agenda. They follow once the tabulations are final, and nothing recorded here should be read as one. The study is being performed under ASOP No. 35, which governs the selection of demographic assumptions.</w:t>
      </w:r>
    </w:p>
    <w:p>
      <w:pPr>
        <w:pStyle w:val="Heading2"/>
      </w:pPr>
      <w:r>
        <w:t>Attendees</w:t>
      </w:r>
    </w:p>
    <w:p>
      <w:pPr>
        <w:pStyle w:val="ListBullet"/>
      </w:pPr>
      <w:r>
        <w:t>Barbara Hall, Chief Operating Officer, Estes Group</w:t>
      </w:r>
    </w:p>
    <w:p>
      <w:pPr>
        <w:pStyle w:val="ListBullet"/>
      </w:pPr>
      <w:r>
        <w:t>Robert Lawrence, Managing Actuary</w:t>
      </w:r>
    </w:p>
    <w:p>
      <w:pPr>
        <w:pStyle w:val="ListBullet"/>
      </w:pPr>
      <w:r>
        <w:t>David Sherman, Senior Analyst</w:t>
      </w:r>
    </w:p>
    <w:p>
      <w:pPr>
        <w:pStyle w:val="ListBullet"/>
      </w:pPr>
      <w:r>
        <w:t>Jeffrey Ochoa, Actuarial Analyst</w:t>
      </w:r>
    </w:p>
    <w:p>
      <w:pPr>
        <w:pStyle w:val="ListBullet"/>
      </w:pPr>
      <w:r>
        <w:t>Megan Dudley, Actuarial Associate</w:t>
      </w:r>
    </w:p>
    <w:p>
      <w:pPr>
        <w:pStyle w:val="Heading2"/>
      </w:pPr>
      <w:r>
        <w:t>Data relied on</w:t>
      </w:r>
    </w:p>
    <w:p>
      <w:r>
        <w:t>We started with the data, since every rate in the study rests on it. David Sherman reported that the status history now ties to the year-end census in every year of the study period. The last open item had been the group of first-year records that left the active census with no recorded change of status. Barbara Hall confirmed that they were internal transfers, which the payroll system had entered as new hires under new employee numbers. Her staff sent the old and new numbers, Megan Dudley linked them, and David reran the reconciliation. It holds.</w:t>
      </w:r>
    </w:p>
    <w:p>
      <w:r>
        <w:t>Megan raised a smaller point. A few retiree records have no date of birth. Barbara expects the benefits office can supply the dates from the original retirement applications. Megan set out what we will do if it cannot. Those records will be left out of the mortality tabulation. They will not be given an assumed age, and the study will say how many were left out.</w:t>
      </w:r>
    </w:p>
    <w:p>
      <w:pPr>
        <w:pStyle w:val="Heading2"/>
      </w:pPr>
      <w:r>
        <w:t>First look at the experience</w:t>
      </w:r>
    </w:p>
    <w:p>
      <w:r>
        <w:t>Jeffrey Ochoa took us through the tabulations. Each one compares the terminations, retirements or deaths the plan actually recorded with the number the current assumptions would have predicted. He kept the observed results apart from anything we might later recommend, and these minutes keep the same line.</w:t>
      </w:r>
    </w:p>
    <w:p>
      <w:r>
        <w:t>On terminations, the data show more departures than expected in the first years of service and fewer than expected after that. On retirements, the counts run below expected in the early retirement window and close to expected at older ages. On mortality, the plan recorded fewer retiree deaths than the current table predicts.</w:t>
      </w:r>
    </w:p>
    <w:p>
      <w:r>
        <w:t>Barbara asked whether the early-service result might come from a single unusual hiring year and not from a lasting pattern. It might. Jeffrey will split those results by year of hire before we draw anything from them.</w:t>
      </w:r>
    </w:p>
    <w:p>
      <w:r>
        <w:t>Our view at this stage is limited. The plan's own experience is not large enough to set every rate by itself, and the mortality result rests on few deaths. Where the data are thin we will weight them against a published table, as ASOP No. 25 provides. The report will show the weight given, so that it can be checked.</w:t>
      </w:r>
    </w:p>
    <w:p>
      <w:pPr>
        <w:pStyle w:val="Heading2"/>
      </w:pPr>
      <w:r>
        <w:t>Agreed actions</w:t>
      </w:r>
    </w:p>
    <w:p>
      <w:r>
        <w:t>The draft recommendations depend on each of these items. We have listed them in the order they need to be done.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Timing</w:t>
            </w:r>
          </w:p>
        </w:tc>
      </w:tr>
      <w:tr>
        <w:tc>
          <w:tcPr>
            <w:tcW w:type="dxa" w:w="2160"/>
          </w:tcPr>
          <w:p>
            <w:r>
              <w:t>1</w:t>
            </w:r>
          </w:p>
        </w:tc>
        <w:tc>
          <w:tcPr>
            <w:tcW w:type="dxa" w:w="2160"/>
          </w:tcPr>
          <w:p>
            <w:r>
              <w:t>Supply dates of birth for the retiree records that lack them</w:t>
            </w:r>
          </w:p>
        </w:tc>
        <w:tc>
          <w:tcPr>
            <w:tcW w:type="dxa" w:w="2160"/>
          </w:tcPr>
          <w:p>
            <w:r>
              <w:t>Barbara Hall</w:t>
            </w:r>
          </w:p>
        </w:tc>
        <w:tc>
          <w:tcPr>
            <w:tcW w:type="dxa" w:w="2160"/>
          </w:tcPr>
          <w:p>
            <w:r>
              <w:t>Within two weeks</w:t>
            </w:r>
          </w:p>
        </w:tc>
      </w:tr>
      <w:tr>
        <w:tc>
          <w:tcPr>
            <w:tcW w:type="dxa" w:w="2160"/>
          </w:tcPr>
          <w:p>
            <w:r>
              <w:t>2</w:t>
            </w:r>
          </w:p>
        </w:tc>
        <w:tc>
          <w:tcPr>
            <w:tcW w:type="dxa" w:w="2160"/>
          </w:tcPr>
          <w:p>
            <w:r>
              <w:t>Rerun the mortality tabulation with those dates, or on the stated exclusion if they do not come</w:t>
            </w:r>
          </w:p>
        </w:tc>
        <w:tc>
          <w:tcPr>
            <w:tcW w:type="dxa" w:w="2160"/>
          </w:tcPr>
          <w:p>
            <w:r>
              <w:t>Megan Dudley</w:t>
            </w:r>
          </w:p>
        </w:tc>
        <w:tc>
          <w:tcPr>
            <w:tcW w:type="dxa" w:w="2160"/>
          </w:tcPr>
          <w:p>
            <w:r>
              <w:t>On receipt, or when the two weeks have passed</w:t>
            </w:r>
          </w:p>
        </w:tc>
      </w:tr>
      <w:tr>
        <w:tc>
          <w:tcPr>
            <w:tcW w:type="dxa" w:w="2160"/>
          </w:tcPr>
          <w:p>
            <w:r>
              <w:t>3</w:t>
            </w:r>
          </w:p>
        </w:tc>
        <w:tc>
          <w:tcPr>
            <w:tcW w:type="dxa" w:w="2160"/>
          </w:tcPr>
          <w:p>
            <w:r>
              <w:t>Split early-service terminations by year of hire</w:t>
            </w:r>
          </w:p>
        </w:tc>
        <w:tc>
          <w:tcPr>
            <w:tcW w:type="dxa" w:w="2160"/>
          </w:tcPr>
          <w:p>
            <w:r>
              <w:t>Jeffrey Ochoa</w:t>
            </w:r>
          </w:p>
        </w:tc>
        <w:tc>
          <w:tcPr>
            <w:tcW w:type="dxa" w:w="2160"/>
          </w:tcPr>
          <w:p>
            <w:r>
              <w:t>Before the status report</w:t>
            </w:r>
          </w:p>
        </w:tc>
      </w:tr>
      <w:tr>
        <w:tc>
          <w:tcPr>
            <w:tcW w:type="dxa" w:w="2160"/>
          </w:tcPr>
          <w:p>
            <w:r>
              <w:t>4</w:t>
            </w:r>
          </w:p>
        </w:tc>
        <w:tc>
          <w:tcPr>
            <w:tcW w:type="dxa" w:w="2160"/>
          </w:tcPr>
          <w:p>
            <w:r>
              <w:t>Issue the data summary, covering the transfer linkage and every record excluded</w:t>
            </w:r>
          </w:p>
        </w:tc>
        <w:tc>
          <w:tcPr>
            <w:tcW w:type="dxa" w:w="2160"/>
          </w:tcPr>
          <w:p>
            <w:r>
              <w:t>David Sherman</w:t>
            </w:r>
          </w:p>
        </w:tc>
        <w:tc>
          <w:tcPr>
            <w:tcW w:type="dxa" w:w="2160"/>
          </w:tcPr>
          <w:p>
            <w:r>
              <w:t>Before the status report</w:t>
            </w:r>
          </w:p>
        </w:tc>
      </w:tr>
      <w:tr>
        <w:tc>
          <w:tcPr>
            <w:tcW w:type="dxa" w:w="2160"/>
          </w:tcPr>
          <w:p>
            <w:r>
              <w:t>5</w:t>
            </w:r>
          </w:p>
        </w:tc>
        <w:tc>
          <w:tcPr>
            <w:tcW w:type="dxa" w:w="2160"/>
          </w:tcPr>
          <w:p>
            <w:r>
              <w:t>Review the tabulations and the credibility approach before any recommendation is drafted</w:t>
            </w:r>
          </w:p>
        </w:tc>
        <w:tc>
          <w:tcPr>
            <w:tcW w:type="dxa" w:w="2160"/>
          </w:tcPr>
          <w:p>
            <w:r>
              <w:t>Robert Lawrence</w:t>
            </w:r>
          </w:p>
        </w:tc>
        <w:tc>
          <w:tcPr>
            <w:tcW w:type="dxa" w:w="2160"/>
          </w:tcPr>
          <w:p>
            <w:r>
              <w:t>Once items 3 and 4 are done</w:t>
            </w:r>
          </w:p>
        </w:tc>
      </w:tr>
    </w:tbl>
    <w:p>
      <w:r>
        <w:t>Our thanks to Barbara and her staff for turning the transfer question around so quickly. We would ask for any corrections to these minutes before the draft recommendations go out, so that the minutes and the recommendations rest on the same account of the data.</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Experience Study for Estes Group</dc:title>
  <dc:subject/>
  <dc:creator>Robert Lawrence</dc:creator>
  <cp:keywords/>
  <dc:description>generated by python-docx</dc:description>
  <cp:lastModifiedBy>Robert Lawrence</cp:lastModifiedBy>
  <cp:revision>1</cp:revision>
  <dcterms:created xsi:type="dcterms:W3CDTF">2019-03-19T09:00:00Z</dcterms:created>
  <dcterms:modified xsi:type="dcterms:W3CDTF">2019-03-19T09:00:00Z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