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Robert Lawrence, Michelle Banks, Nicole Hanna</w:t>
        <w:br/>
        <w:t>From: Karen Harris, Actuarial Associate</w:t>
        <w:br/>
        <w:t>Re: Reinsurance pricing review for Gonzalez, Campbell and Kelly: how we are starting</w:t>
      </w:r>
    </w:p>
    <w:p>
      <w:r>
        <w:t>We are ready to start, and the first thing we need is data. The engagement letter has come back signed, and the work began on July 25, 2024. What we owe Gonzalez, Campbell and Kelly is an independent view of whether the premiums it pays its reinsurers are reasonable for the claims it cedes, built from its own records. The report will keep three things apart: what the data show, what we assumed, and what we conclude. We should keep them apart in our working files from the first day as well.</w:t>
      </w:r>
    </w:p>
    <w:p>
      <w:pPr>
        <w:pStyle w:val="Heading2"/>
      </w:pPr>
      <w:r>
        <w:t>How the work is shared</w:t>
      </w:r>
    </w:p>
    <w:p>
      <w:r>
        <w:t>Michelle Banks owns the data. Her first task is to reconcile the ceded premiums and claim recoveries in the company's records against the reinsurers' statements, treaty by treaty and year by year. Neither source is treated as correct until the two agree or the difference is explained in the data log. Nicole Hanna will help with intake while the files come in. She will log each file on arrival and run the first checks on record counts and control totals. Where something does not tie, she will record what she found and pass it to Michelle. No file gets adjusted to make it agree.</w:t>
      </w:r>
    </w:p>
    <w:p>
      <w:r>
        <w:t>I will take the experience analysis. Once the claim listings and the in-force file reconcile, I will build an expected-claims basis for each treaty from the company's own experience. Some treaties will not have enough experience to stand alone. For those I will blend in published industry experience and record the weight given to each, so that the choice can be reviewed rather than reconstructed later. I will also check the rate schedules in the treaties against the premiums actually billed, because an error there would carry into every comparison after it.</w:t>
      </w:r>
    </w:p>
    <w:p>
      <w:r>
        <w:t>Robert Lawrence is responsible for the engagement and will sign the report. He will review the data log before any expected-claims figure is run, and the assumptions before they feed a comparison. Early on I will also put the treaty terms that drive net cost into a single summary: the retention, any commission or allowance the reinsurer returns, and the rate-change provisions. Every result we produce should be read against that page.</w:t>
      </w:r>
    </w:p>
    <w:p>
      <w:pPr>
        <w:pStyle w:val="Heading2"/>
      </w:pPr>
      <w:r>
        <w:t>Working with the client</w:t>
      </w:r>
    </w:p>
    <w:p>
      <w:r>
        <w:t>James Garcia, the Chief Financial Officer, is our contact at the company. The engagement letter told him that day-to-day contact would come from Michelle and me, and we should hold to that. Every request goes in writing and onto the request log before it is sent. That way his staff are never asked the same thing twice, and we can always show what we asked for and when it arrived.</w:t>
      </w:r>
    </w:p>
    <w:p>
      <w:pPr>
        <w:pStyle w:val="Heading2"/>
      </w:pPr>
      <w:r>
        <w:t>The coming days</w:t>
      </w:r>
    </w:p>
    <w:p>
      <w:r>
        <w:t>The data request goes out first, because nothing else can move until files arrive. Michelle has drafted it from the list in the engagement letter, and it will go to James Garcia as soon as Robert has reviewed it. It asks for the treaties with every amendment and rate schedule, the premium and recovery listings with the reinsurers' statements, the in-force listing showing amounts retained and ceded, the claim listings, and any rate correspondence from the reinsurers. It also says plainly that files in the company's own format are fine. The treaties need no reconciliation, so I will read them as soon as they arrive and start the summary of terms while the rest of the data are being checked.</w:t>
      </w:r>
    </w:p>
    <w:p>
      <w:r>
        <w:t>We will meet weekly while the data are open, and Michelle will circulate the log the day before each meeting. If you see a gap in the request, please tell Michelle in the next day or two so that it can go out in one piece.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Reinsurance Pricing Review for Gonzalez, Campbell and Kelly</dc:title>
  <dc:subject/>
  <dc:creator>Karen Harris</dc:creator>
  <cp:keywords/>
  <dc:description>generated by python-docx</dc:description>
  <cp:lastModifiedBy>Karen Harris</cp:lastModifiedBy>
  <cp:revision>1</cp:revision>
  <dcterms:created xsi:type="dcterms:W3CDTF">2024-07-28T09:00:00Z</dcterms:created>
  <dcterms:modified xsi:type="dcterms:W3CDTF">2024-07-28T09:00:00Z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