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Reinsurance Pricing Review for Gonzalez, Campbell and Kelly</w:t>
      </w:r>
    </w:p>
    <w:p>
      <w:pPr>
        <w:pStyle w:val="Heading2"/>
      </w:pPr>
      <w:r>
        <w:t>Status at the midpoint</w:t>
      </w:r>
    </w:p>
    <w:p>
      <w:r>
        <w:t>Prepared by Karen Harris, Actuarial Associate, with Michelle Banks and Robert Lawrence.</w:t>
      </w:r>
    </w:p>
    <w:p>
      <w:pPr>
        <w:pStyle w:val="Heading2"/>
      </w:pPr>
      <w:r>
        <w:t>Where the review stands</w:t>
      </w:r>
    </w:p>
    <w:p>
      <w:r>
        <w:t>The review is on schedule and within its budget at the midpoint. The data work is finished, the experience study is complete, and we have begun the comparison with the proposed reinsurance rates. Nothing we have found so far changes the scope or the timetable in our engagement letter. We have not yet formed a view on the proposed rates, and this report offers none.</w:t>
      </w:r>
    </w:p>
    <w:p>
      <w:r>
        <w:t>The rest of this report sets out what has been finished since the working session, what remains, and the points we think you should keep in view between now and the draft report.</w:t>
      </w:r>
    </w:p>
    <w:p>
      <w:pPr>
        <w:pStyle w:val="Heading2"/>
      </w:pPr>
      <w:r>
        <w:t>Completed since the working session</w:t>
      </w:r>
    </w:p>
    <w:p>
      <w:r>
        <w:t>Michelle Banks has issued the written data summary. It records the checks we made on the in-force listing and the claim listing, the reconciliation of claims to the reinsurance statements, and the one adjustment we made. Following your team's confirmation that the statements record a claim when it is settled, the most recent year is back in the study on an incurred basis. The summary also states the extent of our reliance. We checked the data for consistency and reasonableness. We did not audit them, and the report will say so in the same terms.</w:t>
      </w:r>
    </w:p>
    <w:p>
      <w:r>
        <w:t>I have rerun the experience comparison with the restored year. The pattern described at the working session holds. Claims at the younger issue ages have run below what the industry mortality table predicts, and the older ages are close to expected. Adding the year made the younger-age result firmer. It did little for the older ages, where claims are still few. In checking the rerun I found a subtotal in one of our working exhibits that did not tie to the detail beneath it. The formula error was ours, it was caught before the exhibit left our office, and it does not affect anything described here.</w:t>
      </w:r>
    </w:p>
    <w:p>
      <w:r>
        <w:t>Robert Lawrence has set out in writing how much weight the block's own experience will carry against the industry table at each age. That weighting is a judgment, and we have kept it apart from the experience results so it can be read and challenged on its own terms. It rests on the number of claims behind each age group. Where claims are few, the industry table carries most of the weight. We will send the note to you with the draft report, and we are glad to take you through it sooner if that would help.</w:t>
      </w:r>
    </w:p>
    <w:p>
      <w:r>
        <w:t>Your team has also sent the complete rate schedule from the proposal, covering every issue age. The comparison now works from the full schedule, which was the last input we needed from you for the second half of the review.</w:t>
      </w:r>
    </w:p>
    <w:p>
      <w:pPr>
        <w:pStyle w:val="Heading2"/>
      </w:pPr>
      <w:r>
        <w:t>The work ahead</w:t>
      </w:r>
    </w:p>
    <w:p>
      <w:r>
        <w:t>What remains is the rate comparison itself and the report. I am projecting the expected claim cost on the block under the weighted assumption. Michelle is setting that cost against the premiums the proposed rates would produce, by issue age and in total. Once that is done we will test how far the result moves under reasonable alternative assumptions, so the report can show whether its conclusion depends on any one of them.</w:t>
      </w:r>
    </w:p>
    <w:p>
      <w:r>
        <w:t>As agreed at the working session, the report will say whether the proposed rates are reasonable in relation to the block's experience and the assumptions the report states. It will not assess the reinsurer's expenses, its margin, or its financial strength. The draft goes through an internal review before it reaches you. Robert Lawrence will sign the final opinion once your comments on the draft have been addressed.</w:t>
      </w:r>
    </w:p>
    <w:p>
      <w:pPr>
        <w:pStyle w:val="Heading2"/>
      </w:pPr>
      <w:r>
        <w:t>Risks and open questions</w:t>
      </w:r>
    </w:p>
    <w:p>
      <w:r>
        <w:t>The thinness of the older-age experience is the main limit on what the report can say. For those ages the conclusion will rest more on the industry table than on the block's own claims, and the report will make that plain. This is not a risk to the timetable. It is a boundary on how firmly we can speak about the older ages. We raise it here so that it is not new to you when the draft arrives.</w:t>
      </w:r>
    </w:p>
    <w:p>
      <w:r>
        <w:t>A revised proposal from the reinsurer would mean rerunning the comparison on the new terms. A revision to the rates alone can be absorbed within the current timetable. A change to the structure of the treaty, such as the retention or the share of each policy ceded, would take longer and could affect the fee. If that happens we will raise it with you before doing the work.</w:t>
      </w:r>
    </w:p>
    <w:p>
      <w:r>
        <w:t>Some questions that reach us are related to this review, such as the accounting treatment of the reinsurance or its effect on the company's capital position. The data we hold cannot support an answer to them, and they are outside the scope of the engagement. When one comes up we will say so, and we can discuss a separate scope if the company wants that work done.</w:t>
      </w:r>
    </w:p>
    <w:p>
      <w:pPr>
        <w:pStyle w:val="Heading2"/>
      </w:pPr>
      <w:r>
        <w:t>Fees and time</w:t>
      </w:r>
    </w:p>
    <w:p>
      <w:r>
        <w:t>Our fee for the review is $42,000, as set out in the engagement letter. Time charged to date is in line with the work completed, and we expect to finish within the fee. The one development that could change this is a structural revision to the proposal, described above, and we would discuss it with you before any additional work began.</w:t>
      </w:r>
    </w:p>
    <w:p>
      <w:r>
        <w:t>We are grateful for how quickly your team has answered our questions, which kept the data work short. Please send questions about this report to Karen Harris, or to Robert Lawrence on any matter of scope.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Reinsurance Pricing Review for Gonzalez, Campbell and Kelly</dc:title>
  <dc:subject/>
  <dc:creator>Karen Harris</dc:creator>
  <cp:keywords/>
  <dc:description>generated by python-docx</dc:description>
  <cp:lastModifiedBy>Karen Harris</cp:lastModifiedBy>
  <cp:revision>1</cp:revision>
  <dcterms:created xsi:type="dcterms:W3CDTF">2024-09-25T09:00:00Z</dcterms:created>
  <dcterms:modified xsi:type="dcterms:W3CDTF">2024-09-25T09:00:00Z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