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Reinsurance Pricing Review for Gonzalez, Campbell and Kelly</w:t>
      </w:r>
    </w:p>
    <w:p>
      <w:r>
        <w:t>This was the working session we planned for the middle of the review. It had three purposes: to close the open data questions, to look at the first experience results, and to agree how the comparison with the proposed reinsurance rates will be made. No view on the proposed rates was reached or offered. Nothing below should be read as one.</w:t>
      </w:r>
    </w:p>
    <w:p>
      <w:pPr>
        <w:pStyle w:val="Heading2"/>
      </w:pPr>
      <w:r>
        <w:t>Those attending</w:t>
      </w:r>
    </w:p>
    <w:p>
      <w:pPr>
        <w:pStyle w:val="ListBullet"/>
      </w:pPr>
      <w:r>
        <w:t>James Garcia, Chief Financial Officer, Gonzalez, Campbell and Kelly</w:t>
      </w:r>
    </w:p>
    <w:p>
      <w:pPr>
        <w:pStyle w:val="ListBullet"/>
      </w:pPr>
      <w:r>
        <w:t>Robert Lawrence, Managing Actuary</w:t>
      </w:r>
    </w:p>
    <w:p>
      <w:pPr>
        <w:pStyle w:val="ListBullet"/>
      </w:pPr>
      <w:r>
        <w:t>Karen Harris, Actuarial Associate</w:t>
      </w:r>
    </w:p>
    <w:p>
      <w:pPr>
        <w:pStyle w:val="ListBullet"/>
      </w:pPr>
      <w:r>
        <w:t>Michelle Banks, Actuarial Associate</w:t>
      </w:r>
    </w:p>
    <w:p>
      <w:pPr>
        <w:pStyle w:val="Heading2"/>
      </w:pPr>
      <w:r>
        <w:t>Where the data stand</w:t>
      </w:r>
    </w:p>
    <w:p>
      <w:r>
        <w:t>Michelle Banks reported that the data checks are complete. The in-force listing ties to the policy counts and face amounts in the company's own records. The claim listing now ties to the reinsurance statements in every year. James Garcia confirmed that the statements record a claim when it is settled, not when it is incurred. That accounts for the shortfall Karen Harris found in the most recent year. We agreed to restore that year to the study on an incurred basis and to record the adjustment in the data summary.</w:t>
      </w:r>
    </w:p>
    <w:p>
      <w:r>
        <w:t>Michelle also set out the extent of our reliance. We have checked the data for consistency and reasonableness. We have not audited them. The report will say so, and it will list the checks we made, as the actuarial standards of practice on data quality require.</w:t>
      </w:r>
    </w:p>
    <w:p>
      <w:pPr>
        <w:pStyle w:val="Heading2"/>
      </w:pPr>
      <w:r>
        <w:t>First look at the experience</w:t>
      </w:r>
    </w:p>
    <w:p>
      <w:r>
        <w:t>Karen Harris walked us through the first comparison of actual claims with the claims expected under the industry mortality table. What the data show is that claims at the younger issue ages have run below expected, and that the older ages are close to expected. There are few claims at the older ages, so the second observation carries less weight than the first.</w:t>
      </w:r>
    </w:p>
    <w:p>
      <w:r>
        <w:t>How much weight the block's own experience should carry against the industry table is a judgment, not a measurement. Robert Lawrence said he will set out the approach in writing before any figure is used in the rate comparison, so that the choice can be read and questioned on its own. Karen will rerun the comparison once the restored year is in. Her exhibits will show the experience with and without that year.</w:t>
      </w:r>
    </w:p>
    <w:p>
      <w:pPr>
        <w:pStyle w:val="Heading2"/>
      </w:pPr>
      <w:r>
        <w:t>The rate comparison</w:t>
      </w:r>
    </w:p>
    <w:p>
      <w:r>
        <w:t>We then turned to the second half of the review. Karen will project the expected claim cost on the block under the assumption we settle on. Michelle will set that cost against the premiums the proposed rates would produce, by issue age and in total.</w:t>
      </w:r>
    </w:p>
    <w:p>
      <w:r>
        <w:t>James Garcia asked whether our report would say if the rates are fair. Robert explained what the review can support. The report will say whether the proposed rates are reasonable in relation to the block's experience and the assumptions it states. It will not assess the reinsurer's expenses, its margin, or its financial strength, because none of the data we hold bears on those questions. James accepted that and asked that the report say it plainly. We agreed that it will.</w:t>
      </w:r>
    </w:p>
    <w:p>
      <w:r>
        <w:t>The comparison has to be made against the full proposal. The rate schedule we hold covers only part of the issue age range, and James undertook to send the rest.</w:t>
      </w:r>
    </w:p>
    <w:p>
      <w:pPr>
        <w:pStyle w:val="Heading2"/>
      </w:pPr>
      <w:r>
        <w:t>Actions agreed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Timing</w:t>
            </w:r>
          </w:p>
        </w:tc>
      </w:tr>
      <w:tr>
        <w:tc>
          <w:tcPr>
            <w:tcW w:type="dxa" w:w="2160"/>
          </w:tcPr>
          <w:p>
            <w:r>
              <w:t>1</w:t>
            </w:r>
          </w:p>
        </w:tc>
        <w:tc>
          <w:tcPr>
            <w:tcW w:type="dxa" w:w="2160"/>
          </w:tcPr>
          <w:p>
            <w:r>
              <w:t>Send the complete rate schedule from the reinsurance proposal, covering every issue age</w:t>
            </w:r>
          </w:p>
        </w:tc>
        <w:tc>
          <w:tcPr>
            <w:tcW w:type="dxa" w:w="2160"/>
          </w:tcPr>
          <w:p>
            <w:r>
              <w:t>James Garcia</w:t>
            </w:r>
          </w:p>
        </w:tc>
        <w:tc>
          <w:tcPr>
            <w:tcW w:type="dxa" w:w="2160"/>
          </w:tcPr>
          <w:p>
            <w:r>
              <w:t>Next week</w:t>
            </w:r>
          </w:p>
        </w:tc>
      </w:tr>
      <w:tr>
        <w:tc>
          <w:tcPr>
            <w:tcW w:type="dxa" w:w="2160"/>
          </w:tcPr>
          <w:p>
            <w:r>
              <w:t>2</w:t>
            </w:r>
          </w:p>
        </w:tc>
        <w:tc>
          <w:tcPr>
            <w:tcW w:type="dxa" w:w="2160"/>
          </w:tcPr>
          <w:p>
            <w:r>
              <w:t>Restore the most recent year on an incurred basis and rerun the experience comparison</w:t>
            </w:r>
          </w:p>
        </w:tc>
        <w:tc>
          <w:tcPr>
            <w:tcW w:type="dxa" w:w="2160"/>
          </w:tcPr>
          <w:p>
            <w:r>
              <w:t>Karen Harris</w:t>
            </w:r>
          </w:p>
        </w:tc>
        <w:tc>
          <w:tcPr>
            <w:tcW w:type="dxa" w:w="2160"/>
          </w:tcPr>
          <w:p>
            <w:r>
              <w:t>Before the comparison begins</w:t>
            </w:r>
          </w:p>
        </w:tc>
      </w:tr>
      <w:tr>
        <w:tc>
          <w:tcPr>
            <w:tcW w:type="dxa" w:w="2160"/>
          </w:tcPr>
          <w:p>
            <w:r>
              <w:t>3</w:t>
            </w:r>
          </w:p>
        </w:tc>
        <w:tc>
          <w:tcPr>
            <w:tcW w:type="dxa" w:w="2160"/>
          </w:tcPr>
          <w:p>
            <w:r>
              <w:t>Issue the written data summary, including the adjustment to the most recent year</w:t>
            </w:r>
          </w:p>
        </w:tc>
        <w:tc>
          <w:tcPr>
            <w:tcW w:type="dxa" w:w="2160"/>
          </w:tcPr>
          <w:p>
            <w:r>
              <w:t>Michelle Banks</w:t>
            </w:r>
          </w:p>
        </w:tc>
        <w:tc>
          <w:tcPr>
            <w:tcW w:type="dxa" w:w="2160"/>
          </w:tcPr>
          <w:p>
            <w:r>
              <w:t>Within two weeks</w:t>
            </w:r>
          </w:p>
        </w:tc>
      </w:tr>
      <w:tr>
        <w:tc>
          <w:tcPr>
            <w:tcW w:type="dxa" w:w="2160"/>
          </w:tcPr>
          <w:p>
            <w:r>
              <w:t>4</w:t>
            </w:r>
          </w:p>
        </w:tc>
        <w:tc>
          <w:tcPr>
            <w:tcW w:type="dxa" w:w="2160"/>
          </w:tcPr>
          <w:p>
            <w:r>
              <w:t>Set out in writing the approach to weighting the block's own experience against the industry table</w:t>
            </w:r>
          </w:p>
        </w:tc>
        <w:tc>
          <w:tcPr>
            <w:tcW w:type="dxa" w:w="2160"/>
          </w:tcPr>
          <w:p>
            <w:r>
              <w:t>Robert Lawrence</w:t>
            </w:r>
          </w:p>
        </w:tc>
        <w:tc>
          <w:tcPr>
            <w:tcW w:type="dxa" w:w="2160"/>
          </w:tcPr>
          <w:p>
            <w:r>
              <w:t>Before the comparison begins</w:t>
            </w:r>
          </w:p>
        </w:tc>
      </w:tr>
      <w:tr>
        <w:tc>
          <w:tcPr>
            <w:tcW w:type="dxa" w:w="2160"/>
          </w:tcPr>
          <w:p>
            <w:r>
              <w:t>5</w:t>
            </w:r>
          </w:p>
        </w:tc>
        <w:tc>
          <w:tcPr>
            <w:tcW w:type="dxa" w:w="2160"/>
          </w:tcPr>
          <w:p>
            <w:r>
              <w:t>Begin the comparison of expected claim cost with the proposed premiums</w:t>
            </w:r>
          </w:p>
        </w:tc>
        <w:tc>
          <w:tcPr>
            <w:tcW w:type="dxa" w:w="2160"/>
          </w:tcPr>
          <w:p>
            <w:r>
              <w:t>Karen Harris and Michelle Banks</w:t>
            </w:r>
          </w:p>
        </w:tc>
        <w:tc>
          <w:tcPr>
            <w:tcW w:type="dxa" w:w="2160"/>
          </w:tcPr>
          <w:p>
            <w:r>
              <w:t>Once items 1, 2 and 4 are done</w:t>
            </w:r>
          </w:p>
        </w:tc>
      </w:tr>
    </w:tbl>
    <w:p>
      <w:r>
        <w:t>Corrections to these notes are welcome. Please send them to Robert Lawrence, and a revised copy will go to everyone who attended.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Reinsurance Pricing Review for Gonzalez, Campbell and Kelly</dc:title>
  <dc:subject/>
  <dc:creator>Robert Lawrence</dc:creator>
  <cp:keywords/>
  <dc:description>generated by python-docx</dc:description>
  <cp:lastModifiedBy>Robert Lawrence</cp:lastModifiedBy>
  <cp:revision>1</cp:revision>
  <dcterms:created xsi:type="dcterms:W3CDTF">2024-09-13T09:00:00Z</dcterms:created>
  <dcterms:modified xsi:type="dcterms:W3CDTF">2024-09-13T09:00:00Z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