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Pension Valuation</w:t>
      </w:r>
    </w:p>
    <w:p>
      <w:r>
        <w:t>Prepared for Howard and Sons by Meridian Actuarial Advisors. This report covers the work through the midpoint of the engagement. It contains no valuation results.</w:t>
      </w:r>
    </w:p>
    <w:p>
      <w:pPr>
        <w:pStyle w:val="Heading2"/>
      </w:pPr>
      <w:r>
        <w:t>Position at the Midpoint</w:t>
      </w:r>
    </w:p>
    <w:p>
      <w:r>
        <w:t>The valuation is on schedule and within the scope set out in the engagement letter. The census data are final, the plan provisions are confirmed, and the assumption review is under way.</w:t>
      </w:r>
    </w:p>
    <w:p>
      <w:r>
        <w:t>No results have been produced, and none will be until the assumptions are agreed. One decision is needed from you before then, on the mortality basis. It is set out at the end of this report.</w:t>
      </w:r>
    </w:p>
    <w:p>
      <w:pPr>
        <w:pStyle w:val="Heading2"/>
      </w:pPr>
      <w:r>
        <w:t>Completed to Date</w:t>
      </w:r>
    </w:p>
    <w:p>
      <w:pPr>
        <w:pStyle w:val="ListBullet"/>
      </w:pPr>
      <w:r>
        <w:t>Received the participant census and loaded it into the valuation model.</w:t>
      </w:r>
    </w:p>
    <w:p>
      <w:pPr>
        <w:pStyle w:val="ListBullet"/>
      </w:pPr>
      <w:r>
        <w:t>Reconciled the census to the prior year's file. Active and retiree records tied on the first pass.</w:t>
      </w:r>
    </w:p>
    <w:p>
      <w:pPr>
        <w:pStyle w:val="ListBullet"/>
      </w:pPr>
      <w:r>
        <w:t>Resolved the terminated vested records with your staff at the working session. Former employees who had been paid lump sums but remained on the file were removed, and the source of each removal is documented.</w:t>
      </w:r>
    </w:p>
    <w:p>
      <w:pPr>
        <w:pStyle w:val="ListBullet"/>
      </w:pPr>
      <w:r>
        <w:t>Obtained the missing hire dates from payroll, which closed the last open data item.</w:t>
      </w:r>
    </w:p>
    <w:p>
      <w:pPr>
        <w:pStyle w:val="ListBullet"/>
      </w:pPr>
      <w:r>
        <w:t>Received the restated plan document and its amendments, and reflected the amended provisions in the benefit calculations.</w:t>
      </w:r>
    </w:p>
    <w:p>
      <w:pPr>
        <w:pStyle w:val="ListBullet"/>
      </w:pPr>
      <w:r>
        <w:t>Issued the written data summary, prepared by David Sherman, listing each change made to the file and its source.</w:t>
      </w:r>
    </w:p>
    <w:p>
      <w:pPr>
        <w:pStyle w:val="ListBullet"/>
      </w:pPr>
      <w:r>
        <w:t>Completed a first review of retirement and termination experience, prepared by Jeffrey Ochoa.</w:t>
      </w:r>
    </w:p>
    <w:p>
      <w:pPr>
        <w:pStyle w:val="Heading2"/>
      </w:pPr>
      <w:r>
        <w:t>What the Data Show</w:t>
      </w:r>
    </w:p>
    <w:p>
      <w:r>
        <w:t>The census, as reconciled, is complete and internally consistent for every participant group. Each record now carries the elements the valuation needs, and no participant is carried on an assumed data value.</w:t>
      </w:r>
    </w:p>
    <w:p>
      <w:r>
        <w:t>The experience review shows participants retiring later than the current rates assume. The pattern is clearest at the first age at which an unreduced benefit is available. It rests on a short period of data and is an observation, not yet a recommendation.</w:t>
      </w:r>
    </w:p>
    <w:p>
      <w:pPr>
        <w:pStyle w:val="Heading2"/>
      </w:pPr>
      <w:r>
        <w:t>What Has Been Assumed</w:t>
      </w:r>
    </w:p>
    <w:p>
      <w:r>
        <w:t>No new assumptions have been adopted. To test the data and provisions end to end, the model is running on the prior valuation's assumptions as a placeholder.</w:t>
      </w:r>
    </w:p>
    <w:p>
      <w:r>
        <w:t>Output on that basis is a check on the mechanics only. It is not reported and should not be relied on for any purpose.</w:t>
      </w:r>
    </w:p>
    <w:p>
      <w:r>
        <w:t>The economic assumptions will be proposed together with the demographic set, each with its basis stated in writing. Any item set by regulation will be identified as prescribed rather than presented as our selection.</w:t>
      </w:r>
    </w:p>
    <w:p>
      <w:pPr>
        <w:pStyle w:val="Heading2"/>
      </w:pPr>
      <w:r>
        <w:t>What We Conclude at This Stage</w:t>
      </w:r>
    </w:p>
    <w:p>
      <w:r>
        <w:t>The data are adequate for the valuation. That conclusion is limited to their consistency and completeness, which is the review called for under Actuarial Standard of Practice No. 23, Data Quality.</w:t>
      </w:r>
    </w:p>
    <w:p>
      <w:r>
        <w:t>We have relied on the census and plan documents as provided and have not audited them. We reach no conclusion yet on the plan's liabilities or costs.</w:t>
      </w:r>
    </w:p>
    <w:p>
      <w:pPr>
        <w:pStyle w:val="Heading2"/>
      </w:pPr>
      <w:r>
        <w:t>Work Ahead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Work</w:t>
            </w:r>
          </w:p>
        </w:tc>
        <w:tc>
          <w:tcPr>
            <w:tcW w:type="dxa" w:w="2880"/>
          </w:tcPr>
          <w:p>
            <w:r>
              <w:rPr>
                <w:b/>
              </w:rPr>
              <w:t>Lead</w:t>
            </w:r>
          </w:p>
        </w:tc>
        <w:tc>
          <w:tcPr>
            <w:tcW w:type="dxa" w:w="2880"/>
          </w:tcPr>
          <w:p>
            <w:r>
              <w:rPr>
                <w:b/>
              </w:rPr>
              <w:t>Depends on</w:t>
            </w:r>
          </w:p>
        </w:tc>
      </w:tr>
      <w:tr>
        <w:tc>
          <w:tcPr>
            <w:tcW w:type="dxa" w:w="2880"/>
          </w:tcPr>
          <w:p>
            <w:r>
              <w:t>Recommended retirement and termination rates, with the supporting study</w:t>
            </w:r>
          </w:p>
        </w:tc>
        <w:tc>
          <w:tcPr>
            <w:tcW w:type="dxa" w:w="2880"/>
          </w:tcPr>
          <w:p>
            <w:r>
              <w:t>Jeffrey Ochoa</w:t>
            </w:r>
          </w:p>
        </w:tc>
        <w:tc>
          <w:tcPr>
            <w:tcW w:type="dxa" w:w="2880"/>
          </w:tcPr>
          <w:p>
            <w:r>
              <w:t>Nothing outstanding</w:t>
            </w:r>
          </w:p>
        </w:tc>
      </w:tr>
      <w:tr>
        <w:tc>
          <w:tcPr>
            <w:tcW w:type="dxa" w:w="2880"/>
          </w:tcPr>
          <w:p>
            <w:r>
              <w:t>Mortality comparison: current basis against RP-2014 with MP-2015</w:t>
            </w:r>
          </w:p>
        </w:tc>
        <w:tc>
          <w:tcPr>
            <w:tcW w:type="dxa" w:w="2880"/>
          </w:tcPr>
          <w:p>
            <w:r>
              <w:t>Jennifer Vasquez</w:t>
            </w:r>
          </w:p>
        </w:tc>
        <w:tc>
          <w:tcPr>
            <w:tcW w:type="dxa" w:w="2880"/>
          </w:tcPr>
          <w:p>
            <w:r>
              <w:t>Nothing outstanding</w:t>
            </w:r>
          </w:p>
        </w:tc>
      </w:tr>
      <w:tr>
        <w:tc>
          <w:tcPr>
            <w:tcW w:type="dxa" w:w="2880"/>
          </w:tcPr>
          <w:p>
            <w:r>
              <w:t>Assumption review meeting with your staff</w:t>
            </w:r>
          </w:p>
        </w:tc>
        <w:tc>
          <w:tcPr>
            <w:tcW w:type="dxa" w:w="2880"/>
          </w:tcPr>
          <w:p>
            <w:r>
              <w:t>Jennifer Vasquez</w:t>
            </w:r>
          </w:p>
        </w:tc>
        <w:tc>
          <w:tcPr>
            <w:tcW w:type="dxa" w:w="2880"/>
          </w:tcPr>
          <w:p>
            <w:r>
              <w:t>Both items above</w:t>
            </w:r>
          </w:p>
        </w:tc>
      </w:tr>
      <w:tr>
        <w:tc>
          <w:tcPr>
            <w:tcW w:type="dxa" w:w="2880"/>
          </w:tcPr>
          <w:p>
            <w:r>
              <w:t>Preliminary valuation results, with the mortality effect shown separately</w:t>
            </w:r>
          </w:p>
        </w:tc>
        <w:tc>
          <w:tcPr>
            <w:tcW w:type="dxa" w:w="2880"/>
          </w:tcPr>
          <w:p>
            <w:r>
              <w:t>David Sherman</w:t>
            </w:r>
          </w:p>
        </w:tc>
        <w:tc>
          <w:tcPr>
            <w:tcW w:type="dxa" w:w="2880"/>
          </w:tcPr>
          <w:p>
            <w:r>
              <w:t>Agreed assumptions</w:t>
            </w:r>
          </w:p>
        </w:tc>
      </w:tr>
      <w:tr>
        <w:tc>
          <w:tcPr>
            <w:tcW w:type="dxa" w:w="2880"/>
          </w:tcPr>
          <w:p>
            <w:r>
              <w:t>Draft valuation report</w:t>
            </w:r>
          </w:p>
        </w:tc>
        <w:tc>
          <w:tcPr>
            <w:tcW w:type="dxa" w:w="2880"/>
          </w:tcPr>
          <w:p>
            <w:r>
              <w:t>Jennifer Vasquez</w:t>
            </w:r>
          </w:p>
        </w:tc>
        <w:tc>
          <w:tcPr>
            <w:tcW w:type="dxa" w:w="2880"/>
          </w:tcPr>
          <w:p>
            <w:r>
              <w:t>Your review of the preliminary results</w:t>
            </w:r>
          </w:p>
        </w:tc>
      </w:tr>
    </w:tbl>
    <w:p>
      <w:pPr>
        <w:pStyle w:val="Heading2"/>
      </w:pPr>
      <w:r>
        <w:t>Risks to the Schedule</w:t>
      </w:r>
    </w:p>
    <w:p>
      <w:pPr>
        <w:pStyle w:val="ListBullet"/>
      </w:pPr>
      <w:r>
        <w:t>Assumption decisions. Preliminary results cannot be run until the assumptions are agreed, and each later step moves with that decision.</w:t>
      </w:r>
    </w:p>
    <w:p>
      <w:pPr>
        <w:pStyle w:val="ListBullet"/>
      </w:pPr>
      <w:r>
        <w:t>Plan changes. An amendment adopted before the report is issued may need to be reflected or disclosed. Please tell us of any change under consideration.</w:t>
      </w:r>
    </w:p>
    <w:p>
      <w:pPr>
        <w:pStyle w:val="ListBullet"/>
      </w:pPr>
      <w:r>
        <w:t>Experience period. The period studied is short. If the retirement pattern weakens in the full study, we will recommend a partial move toward it and state why.</w:t>
      </w:r>
    </w:p>
    <w:p>
      <w:pPr>
        <w:pStyle w:val="ListBullet"/>
      </w:pPr>
      <w:r>
        <w:t>Data corrections. A census correction from this point requires the reconciliation to be re-run for the records it affects. We will tell you before any re-run changes the schedule.</w:t>
      </w:r>
    </w:p>
    <w:p>
      <w:pPr>
        <w:pStyle w:val="Heading2"/>
      </w:pPr>
      <w:r>
        <w:t>Decision Needed: Mortality Basis</w:t>
      </w:r>
    </w:p>
    <w:p>
      <w:r>
        <w:t>The mortality basis is the largest open judgment in this valuation. The current basis predates the RP-2014 table and the MP-2015 improvement scale, and for most plans the newer basis has meant longer assumed lifetimes and higher liabilities.</w:t>
      </w:r>
    </w:p>
    <w:p>
      <w:r>
        <w:t>We will show the effect of the change on its own line in the preliminary results, so it can be seen apart from every other assumption. We ask that you be prepared to decide on the basis at the assumption review meeting, after you have seen that effect.</w:t>
      </w:r>
    </w:p>
    <w:p>
      <w:r>
        <w:t>Questions on this report may go to Jennifer Vasquez. David Sherman can answer questions on the data summary, and Jeffrey Ochoa on the experience review.</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Pension Valuation for Howard and Sons</dc:title>
  <dc:subject/>
  <dc:creator>Jennifer Vasquez</dc:creator>
  <cp:keywords/>
  <dc:description>generated by python-docx</dc:description>
  <cp:lastModifiedBy>Jennifer Vasquez</cp:lastModifiedBy>
  <cp:revision>1</cp:revision>
  <dcterms:created xsi:type="dcterms:W3CDTF">2016-06-25T09:00:00Z</dcterms:created>
  <dcterms:modified xsi:type="dcterms:W3CDTF">2016-06-25T09:00:00Z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