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Minutes: Pension Valuation for Howard and Sons</w:t>
      </w:r>
    </w:p>
    <w:p>
      <w:r>
        <w:t>The census is now final for valuation purposes, subject to one open item, and the assumption review has a clear path forward. We closed the terminated vested questions, confirmed the plan provisions, and walked through a first look at the plan's experience. No assumption was adopted at this session, and nothing recorded below should be read as a recommendation.</w:t>
      </w:r>
    </w:p>
    <w:p>
      <w:pPr>
        <w:pStyle w:val="Heading2"/>
      </w:pPr>
      <w:r>
        <w:t>Present</w:t>
      </w:r>
    </w:p>
    <w:p>
      <w:pPr>
        <w:pStyle w:val="ListBullet"/>
      </w:pPr>
      <w:r>
        <w:t>Elizabeth Horne, Director of Operations, Howard and Sons</w:t>
      </w:r>
    </w:p>
    <w:p>
      <w:pPr>
        <w:pStyle w:val="ListBullet"/>
      </w:pPr>
      <w:r>
        <w:t>Jennifer Vasquez, Consulting Actuary</w:t>
      </w:r>
    </w:p>
    <w:p>
      <w:pPr>
        <w:pStyle w:val="ListBullet"/>
      </w:pPr>
      <w:r>
        <w:t>David Sherman, Senior Analyst</w:t>
      </w:r>
    </w:p>
    <w:p>
      <w:pPr>
        <w:pStyle w:val="ListBullet"/>
      </w:pPr>
      <w:r>
        <w:t>Jeffrey Ochoa, Actuarial Analyst (minutes)</w:t>
      </w:r>
    </w:p>
    <w:p>
      <w:pPr>
        <w:pStyle w:val="Heading2"/>
      </w:pPr>
      <w:r>
        <w:t>Census reconciliation</w:t>
      </w:r>
    </w:p>
    <w:p>
      <w:r>
        <w:t>David Sherman opened with the reconciliation. The active and retiree records had tied to the prior year's file on the first pass, so the discussion centered on the terminated vested records that showed no supporting change of status. Elizabeth Horne had traced most of them to former employees who took lump-sum payments and were never removed from the file. We agreed those records come out of the valuation, and David will document the source of each removal in the data summary.</w:t>
      </w:r>
    </w:p>
    <w:p>
      <w:r>
        <w:t>A small number of active records still lack a date of hire, and Elizabeth expects payroll can supply them. Jennifer Vasquez drew a line between this and the earlier problem. An unexplained status change leaves us unsure whether the person belongs in the valuation at all, while a missing hire date leaves one data element open for someone who plainly does. If the dates do not arrive in time, David will carry those participants on a stated assumption and flag it in the summary so the gap stays visible.</w:t>
      </w:r>
    </w:p>
    <w:p>
      <w:pPr>
        <w:pStyle w:val="Heading2"/>
      </w:pPr>
      <w:r>
        <w:t>Plan provisions</w:t>
      </w:r>
    </w:p>
    <w:p>
      <w:r>
        <w:t>The restated plan document and its amendments arrived after our last exchange. Jennifer has reviewed them against the coding in the model, and the benefit calculations now reflect the provisions as amended. She asked that we hear about any amendment under consideration, since a change adopted before the report is issued may need to be reflected or disclosed.</w:t>
      </w:r>
    </w:p>
    <w:p>
      <w:pPr>
        <w:pStyle w:val="Heading2"/>
      </w:pPr>
      <w:r>
        <w:t>Experience and assumptions</w:t>
      </w:r>
    </w:p>
    <w:p>
      <w:r>
        <w:t>Jeffrey Ochoa presented the first look at retirement and termination experience. What the data show is that participants have been retiring later than the current retirement rates assume, most clearly at the first age at which an unreduced benefit is available. That is an observation drawn from a short period of experience, and we kept it apart from any recommendation. Recommended rates will come with the full study, together with a view on how much weight the plan's own experience can carry.</w:t>
      </w:r>
    </w:p>
    <w:p>
      <w:r>
        <w:t>On mortality, Jennifer explained that the current basis predates the RP-2014 table and the MP-2015 improvement scale the Society of Actuaries published last fall. Moving to the newer basis is a judgment, and for most plans it has meant longer assumed lifetimes and higher liabilities. Elizabeth asked how large the effect would be here. Jennifer declined to give a figure before the data are final and the other assumptions are set, because an estimate offered now tends to be quoted later as a result. We agreed instead to show the effect of the mortality change on its own line in the preliminary results.</w:t>
      </w:r>
    </w:p>
    <w:p>
      <w:pPr>
        <w:pStyle w:val="Heading2"/>
      </w:pPr>
      <w:r>
        <w:t>Agreed actions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Timing</w:t>
            </w:r>
          </w:p>
        </w:tc>
      </w:tr>
      <w:tr>
        <w:tc>
          <w:tcPr>
            <w:tcW w:type="dxa" w:w="2880"/>
          </w:tcPr>
          <w:p>
            <w:r>
              <w:t>Obtain the missing hire dates from payroll</w:t>
            </w:r>
          </w:p>
        </w:tc>
        <w:tc>
          <w:tcPr>
            <w:tcW w:type="dxa" w:w="2880"/>
          </w:tcPr>
          <w:p>
            <w:r>
              <w:t>Elizabeth Horne</w:t>
            </w:r>
          </w:p>
        </w:tc>
        <w:tc>
          <w:tcPr>
            <w:tcW w:type="dxa" w:w="2880"/>
          </w:tcPr>
          <w:p>
            <w:r>
              <w:t>Within two weeks</w:t>
            </w:r>
          </w:p>
        </w:tc>
      </w:tr>
      <w:tr>
        <w:tc>
          <w:tcPr>
            <w:tcW w:type="dxa" w:w="2880"/>
          </w:tcPr>
          <w:p>
            <w:r>
              <w:t>Remove the paid-out terminated vested records and document each removal</w:t>
            </w:r>
          </w:p>
        </w:tc>
        <w:tc>
          <w:tcPr>
            <w:tcW w:type="dxa" w:w="2880"/>
          </w:tcPr>
          <w:p>
            <w:r>
              <w:t>David Sherman</w:t>
            </w:r>
          </w:p>
        </w:tc>
        <w:tc>
          <w:tcPr>
            <w:tcW w:type="dxa" w:w="2880"/>
          </w:tcPr>
          <w:p>
            <w:r>
              <w:t>Before the data summary</w:t>
            </w:r>
          </w:p>
        </w:tc>
      </w:tr>
      <w:tr>
        <w:tc>
          <w:tcPr>
            <w:tcW w:type="dxa" w:w="2880"/>
          </w:tcPr>
          <w:p>
            <w:r>
              <w:t>Issue the written data summary</w:t>
            </w:r>
          </w:p>
        </w:tc>
        <w:tc>
          <w:tcPr>
            <w:tcW w:type="dxa" w:w="2880"/>
          </w:tcPr>
          <w:p>
            <w:r>
              <w:t>David Sherman</w:t>
            </w:r>
          </w:p>
        </w:tc>
        <w:tc>
          <w:tcPr>
            <w:tcW w:type="dxa" w:w="2880"/>
          </w:tcPr>
          <w:p>
            <w:r>
              <w:t>Once the hire dates are in, or on a stated assumption if they are not</w:t>
            </w:r>
          </w:p>
        </w:tc>
      </w:tr>
      <w:tr>
        <w:tc>
          <w:tcPr>
            <w:tcW w:type="dxa" w:w="2880"/>
          </w:tcPr>
          <w:p>
            <w:r>
              <w:t>Complete the retirement and termination study, with recommended rates</w:t>
            </w:r>
          </w:p>
        </w:tc>
        <w:tc>
          <w:tcPr>
            <w:tcW w:type="dxa" w:w="2880"/>
          </w:tcPr>
          <w:p>
            <w:r>
              <w:t>Jeffrey Ochoa</w:t>
            </w:r>
          </w:p>
        </w:tc>
        <w:tc>
          <w:tcPr>
            <w:tcW w:type="dxa" w:w="2880"/>
          </w:tcPr>
          <w:p>
            <w:r>
              <w:t>Before the assumption review meeting</w:t>
            </w:r>
          </w:p>
        </w:tc>
      </w:tr>
      <w:tr>
        <w:tc>
          <w:tcPr>
            <w:tcW w:type="dxa" w:w="2880"/>
          </w:tcPr>
          <w:p>
            <w:r>
              <w:t>Prepare the mortality comparison for the preliminary results</w:t>
            </w:r>
          </w:p>
        </w:tc>
        <w:tc>
          <w:tcPr>
            <w:tcW w:type="dxa" w:w="2880"/>
          </w:tcPr>
          <w:p>
            <w:r>
              <w:t>Jennifer Vasquez</w:t>
            </w:r>
          </w:p>
        </w:tc>
        <w:tc>
          <w:tcPr>
            <w:tcW w:type="dxa" w:w="2880"/>
          </w:tcPr>
          <w:p>
            <w:r>
              <w:t>With the preliminary results</w:t>
            </w:r>
          </w:p>
        </w:tc>
      </w:tr>
      <w:tr>
        <w:tc>
          <w:tcPr>
            <w:tcW w:type="dxa" w:w="2880"/>
          </w:tcPr>
          <w:p>
            <w:r>
              <w:t>Tell Meridian of any plan amendment under consideration</w:t>
            </w:r>
          </w:p>
        </w:tc>
        <w:tc>
          <w:tcPr>
            <w:tcW w:type="dxa" w:w="2880"/>
          </w:tcPr>
          <w:p>
            <w:r>
              <w:t>Elizabeth Horne</w:t>
            </w:r>
          </w:p>
        </w:tc>
        <w:tc>
          <w:tcPr>
            <w:tcW w:type="dxa" w:w="2880"/>
          </w:tcPr>
          <w:p>
            <w:r>
              <w:t>Ongoing</w:t>
            </w:r>
          </w:p>
        </w:tc>
      </w:tr>
    </w:tbl>
    <w:p>
      <w:r>
        <w:t>If we have recorded anything differently from the way you remember it, please let Jeffrey Ochoa know and we will correct the minutes.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Pension Valuation for Howard and Sons</dc:title>
  <dc:subject/>
  <dc:creator>Jeffrey Ochoa</dc:creator>
  <cp:keywords/>
  <dc:description>generated by python-docx</dc:description>
  <cp:lastModifiedBy>Jeffrey Ochoa</cp:lastModifiedBy>
  <cp:revision>1</cp:revision>
  <dcterms:created xsi:type="dcterms:W3CDTF">2016-06-10T09:00:00Z</dcterms:created>
  <dcterms:modified xsi:type="dcterms:W3CDTF">2016-06-10T09:00:00Z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