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Prepared for Martinez LLC</w:t>
        <w:br/>
        <w:t>Prepared by Jeffrey Ochoa, Actuarial Analyst, with Jennifer Vasquez, Consulting Actuary, and Amanda White, Actuarial Associate</w:t>
      </w:r>
    </w:p>
    <w:p>
      <w:pPr>
        <w:pStyle w:val="Heading2"/>
      </w:pPr>
      <w:r>
        <w:t>Where the work stands</w:t>
      </w:r>
    </w:p>
    <w:p>
      <w:r>
        <w:t>The valuation is on schedule and within budget. The data are closed, the cost of coverage by age is developed and checked, and the draft assumptions are with Jennifer Vasquez for review. We have not yet run the valuation itself. No obligation figure exists at this stage, and none should be read into anything in this report.</w:t>
      </w:r>
    </w:p>
    <w:p>
      <w:r>
        <w:t>Our fee remains fixed at $118,500. Nothing in the work so far has fallen outside the scope set out in the engagement letter, and we do not expect to ask for a change. If that view changes, we will tell you before any additional work is done.</w:t>
      </w:r>
    </w:p>
    <w:p>
      <w:pPr>
        <w:pStyle w:val="Heading2"/>
      </w:pPr>
      <w:r>
        <w:t>Completed since the working session</w:t>
      </w:r>
    </w:p>
    <w:p>
      <w:r>
        <w:t>Since we last met with your team, we have closed out the items that were holding up the cost analysis.</w:t>
      </w:r>
    </w:p>
    <w:p>
      <w:pPr>
        <w:pStyle w:val="ListBullet"/>
      </w:pPr>
      <w:r>
        <w:t>1. Plan terms. The surviving spouse question is settled. Your staff confirmed that the plan is administered according to the plan document, and we have valued it on those terms. We suggest the summary plan description be brought into line at its next revision. That is a recommendation about the document, not a finding about the obligation.</w:t>
      </w:r>
    </w:p>
    <w:p>
      <w:pPr>
        <w:pStyle w:val="ListBullet"/>
      </w:pPr>
      <w:r>
        <w:t>2. Cost of coverage by age. We built the expected annual cost of coverage at each age from the claims history, separately for retirees under and over Medicare age. Amanda White checked the development against the claims totals and the enrollment counts, and the two agree.</w:t>
      </w:r>
    </w:p>
    <w:p>
      <w:pPr>
        <w:pStyle w:val="ListBullet"/>
      </w:pPr>
      <w:r>
        <w:t>3. Deferred care exhibit. As agreed, we prepared an exhibit showing the cost basis with and without the spring months, when claims fell. The difference is measured and labeled. It is not built into the basis we recommend.</w:t>
      </w:r>
    </w:p>
    <w:p>
      <w:pPr>
        <w:pStyle w:val="Heading2"/>
      </w:pPr>
      <w:r>
        <w:t>What the data show and what we have assumed</w:t>
      </w:r>
    </w:p>
    <w:p>
      <w:r>
        <w:t>We want to be plain about which parts of this work are measurement and which are judgment, because the report will draw the same line. The census, the enrollment counts and the claims history are measurements. We tested them, and they hold together.</w:t>
      </w:r>
    </w:p>
    <w:p>
      <w:r>
        <w:t>The cost curve by age is partly judgment. The plan's own data are thin at the oldest ages, so at those ages we blended the plan's experience with published age curves. That blending is an assumption. The draft documents it, along with the effect of relying on the plan's experience alone.</w:t>
      </w:r>
    </w:p>
    <w:p>
      <w:r>
        <w:t>Trend, mortality, retirement and election rates are judgments. Each draft assumption sits beside what the plan's data can tell us about it, and where the data cannot tell us much, the draft says so. For the long-term trend we are using the Society of Actuaries' long-run medical cost trend model, the common reference for this kind of measurement, with our own inputs set out in the draft.</w:t>
      </w:r>
    </w:p>
    <w:p>
      <w:r>
        <w:t>One item is neither measurement nor judgment. The excise tax on high-cost coverage was repealed at the end of last year, so the valuation does not include it. That follows from the law as it stands, and we note it only so that no one looks for it in the results.</w:t>
      </w:r>
    </w:p>
    <w:p>
      <w:pPr>
        <w:pStyle w:val="Heading2"/>
      </w:pPr>
      <w:r>
        <w:t>Ahead of preliminary results</w:t>
      </w:r>
    </w:p>
    <w:p>
      <w:r>
        <w:t>Jennifer Vasquez will finish her review of the draft assumptions, and we will then send them to you with a short memo explaining each one. Once your staff have had a chance to respond, we will run the valuation and prepare preliminary results. Those results will come to you as a draft, with the main exhibits and a table showing how the obligation moves under different assumptions, before any report is final.</w:t>
      </w:r>
    </w:p>
    <w:p>
      <w:r>
        <w:t>We will need the company's discount rate before we run the valuation, because every result depends on it. We will send you yield information on high-quality corporate bonds to support that selection. The selection itself remains with management.</w:t>
      </w:r>
    </w:p>
    <w:p>
      <w:pPr>
        <w:pStyle w:val="Heading2"/>
      </w:pPr>
      <w:r>
        <w:t>Risks we are watching</w:t>
      </w:r>
    </w:p>
    <w:p>
      <w:pPr>
        <w:pStyle w:val="ListBullet"/>
      </w:pPr>
      <w:r>
        <w:t>1. Claims after deferred care. If claims rebound above their earlier levels, the cost basis may need another look. We will review the most recent months your administrator can supply before results are final.</w:t>
      </w:r>
    </w:p>
    <w:p>
      <w:pPr>
        <w:pStyle w:val="ListBullet"/>
      </w:pPr>
      <w:r>
        <w:t>2. Discount rate timing. Results cannot be finalized until the company has selected its rate.</w:t>
      </w:r>
    </w:p>
    <w:p>
      <w:pPr>
        <w:pStyle w:val="ListBullet"/>
      </w:pPr>
      <w:r>
        <w:t>3. Plan changes. If the company is considering any change to retiree contributions or eligibility, please tell us now. A change adopted before the measurement date may need to be reflected, and pricing a change is outside the current scope.</w:t>
      </w:r>
    </w:p>
    <w:p>
      <w:r>
        <w:t>Questions about this report can come to me or to Jennifer Vasquez. We appreciate the speed with which your staff at Martinez LLC have answered our data questions, which has kept the work on schedule.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Retiree Medical Valuation for Martinez LLC</dc:title>
  <dc:subject/>
  <dc:creator>Jeffrey Ochoa</dc:creator>
  <cp:keywords/>
  <dc:description>generated by python-docx</dc:description>
  <cp:lastModifiedBy>Jeffrey Ochoa</cp:lastModifiedBy>
  <cp:revision>1</cp:revision>
  <dcterms:created xsi:type="dcterms:W3CDTF">2020-10-22T09:00:00Z</dcterms:created>
  <dcterms:modified xsi:type="dcterms:W3CDTF">2020-10-22T09:00:00Z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