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Martinez LLC retiree medical valuation. Working session held by video conference.</w:t>
      </w:r>
    </w:p>
    <w:p>
      <w:pPr>
        <w:pStyle w:val="Heading2"/>
      </w:pPr>
      <w:r>
        <w:t>Present</w:t>
      </w:r>
    </w:p>
    <w:p>
      <w:pPr>
        <w:pStyle w:val="ListBullet"/>
      </w:pPr>
      <w:r>
        <w:t>Jason Wagner, General Manager, Martinez LLC</w:t>
      </w:r>
    </w:p>
    <w:p>
      <w:pPr>
        <w:pStyle w:val="ListBullet"/>
      </w:pPr>
      <w:r>
        <w:t>Jennifer Vasquez, Consulting Actuary</w:t>
      </w:r>
    </w:p>
    <w:p>
      <w:pPr>
        <w:pStyle w:val="ListBullet"/>
      </w:pPr>
      <w:r>
        <w:t>Jeffrey Ochoa, Actuarial Analyst</w:t>
      </w:r>
    </w:p>
    <w:p>
      <w:pPr>
        <w:pStyle w:val="ListBullet"/>
      </w:pPr>
      <w:r>
        <w:t>Amanda White, Actuarial Associate</w:t>
      </w:r>
    </w:p>
    <w:p>
      <w:pPr>
        <w:pStyle w:val="Heading2"/>
      </w:pPr>
      <w:r>
        <w:t>Purpose</w:t>
      </w:r>
    </w:p>
    <w:p>
      <w:r>
        <w:t>The session reviewed the completed data checks and the first look at claims experience. No assumptions were set. The aim was to agree on what the data show before the team proposes assumptions.</w:t>
      </w:r>
    </w:p>
    <w:p>
      <w:pPr>
        <w:pStyle w:val="Heading2"/>
      </w:pPr>
      <w:r>
        <w:t>Census and plan terms</w:t>
      </w:r>
    </w:p>
    <w:p>
      <w:r>
        <w:t>Amanda White reported that the census and enrollment data are closed. Every exception on the data log has been resolved with the company's staff. Jason Wagner confirmed the resolutions for retirees whose coverage elections were missing.</w:t>
      </w:r>
    </w:p>
    <w:p>
      <w:r>
        <w:t>Jennifer Vasquez noted that the plan document and the summary plan description describe surviving spouse coverage differently. The team will value the terms in the plan document. Jason Wagner will confirm that the company administers the plan on those terms.</w:t>
      </w:r>
    </w:p>
    <w:p>
      <w:r>
        <w:t>Jeffrey Ochoa reported that the plan document requires retirees to enroll in Medicare when they become eligible, with the plan paying secondary. The valuation will apply that rule to every retiree of Medicare age. Jason Wagner confirmed that this matches current practice.</w:t>
      </w:r>
    </w:p>
    <w:p>
      <w:pPr>
        <w:pStyle w:val="Heading2"/>
      </w:pPr>
      <w:r>
        <w:t>Claims experience</w:t>
      </w:r>
    </w:p>
    <w:p>
      <w:r>
        <w:t>Jeffrey Ochoa presented paid claims by month, split between retirees under and over Medicare age. Claims fell sharply in the spring and have recovered only in part. The likely cause is care deferred during the pandemic, but the data cannot confirm that.</w:t>
      </w:r>
    </w:p>
    <w:p>
      <w:r>
        <w:t>Jennifer Vasquez set out the team's position. The lower months are measured experience and will be reported as such. They will not be used to reduce the expected cost of coverage, because there is no basis to assume they will persist. Some deferred care may return later as higher claims.</w:t>
      </w:r>
    </w:p>
    <w:p>
      <w:r>
        <w:t>Jason Wagner asked whether leaving those months out overstates the obligation. Jeffrey Ochoa answered that the earlier years carry most of the weight and are consistent with one another. The report will show the effect of including the lower months in a separate exhibit.</w:t>
      </w:r>
    </w:p>
    <w:p>
      <w:pPr>
        <w:pStyle w:val="Heading2"/>
      </w:pPr>
      <w:r>
        <w:t>Retiree contributions</w:t>
      </w:r>
    </w:p>
    <w:p>
      <w:r>
        <w:t>The contribution schedule arrived after the data log closed. Jennifer Vasquez asked whether contributions are set as a share of cost or as a fixed amount. Jason Wagner said the company sets them each year and follows no formula.</w:t>
      </w:r>
    </w:p>
    <w:p>
      <w:r>
        <w:t>How contributions are assumed to change is a judgment, and it affects the obligation directly. The team will ask for the contribution history before proposing an assumption.</w:t>
      </w:r>
    </w:p>
    <w:p>
      <w:pPr>
        <w:pStyle w:val="Heading2"/>
      </w:pPr>
      <w:r>
        <w:t>Assumptions</w:t>
      </w:r>
    </w:p>
    <w:p>
      <w:r>
        <w:t>Trend, mortality, retirement and election rates come next. Jeffrey Ochoa will draft each with the observed experience and the recommended assumption in separate columns. The discount rate remains management's selection.</w:t>
      </w:r>
    </w:p>
    <w:p>
      <w:r>
        <w:t>Jennifer Vasquez will send Jason Wagner a short note on the bond yield information the team can provide. The note will say what the information supports and what it does not.</w:t>
      </w:r>
    </w:p>
    <w:p>
      <w:pPr>
        <w:pStyle w:val="Heading2"/>
      </w:pPr>
      <w:r>
        <w:t>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Needed for</w:t>
            </w:r>
          </w:p>
        </w:tc>
      </w:tr>
      <w:tr>
        <w:tc>
          <w:tcPr>
            <w:tcW w:type="dxa" w:w="2880"/>
          </w:tcPr>
          <w:p>
            <w:r>
              <w:t>Confirm how surviving spouse coverage is administered</w:t>
            </w:r>
          </w:p>
        </w:tc>
        <w:tc>
          <w:tcPr>
            <w:tcW w:type="dxa" w:w="2880"/>
          </w:tcPr>
          <w:p>
            <w:r>
              <w:t>Jason Wagner</w:t>
            </w:r>
          </w:p>
        </w:tc>
        <w:tc>
          <w:tcPr>
            <w:tcW w:type="dxa" w:w="2880"/>
          </w:tcPr>
          <w:p>
            <w:r>
              <w:t>Plan provisions summary</w:t>
            </w:r>
          </w:p>
        </w:tc>
      </w:tr>
      <w:tr>
        <w:tc>
          <w:tcPr>
            <w:tcW w:type="dxa" w:w="2880"/>
          </w:tcPr>
          <w:p>
            <w:r>
              <w:t>Send history of retiree contributions</w:t>
            </w:r>
          </w:p>
        </w:tc>
        <w:tc>
          <w:tcPr>
            <w:tcW w:type="dxa" w:w="2880"/>
          </w:tcPr>
          <w:p>
            <w:r>
              <w:t>Jason Wagner</w:t>
            </w:r>
          </w:p>
        </w:tc>
        <w:tc>
          <w:tcPr>
            <w:tcW w:type="dxa" w:w="2880"/>
          </w:tcPr>
          <w:p>
            <w:r>
              <w:t>Contribution assumption</w:t>
            </w:r>
          </w:p>
        </w:tc>
      </w:tr>
      <w:tr>
        <w:tc>
          <w:tcPr>
            <w:tcW w:type="dxa" w:w="2880"/>
          </w:tcPr>
          <w:p>
            <w:r>
              <w:t>Draft assumption review: trend, mortality, retirement, election</w:t>
            </w:r>
          </w:p>
        </w:tc>
        <w:tc>
          <w:tcPr>
            <w:tcW w:type="dxa" w:w="2880"/>
          </w:tcPr>
          <w:p>
            <w:r>
              <w:t>Jeffrey Ochoa</w:t>
            </w:r>
          </w:p>
        </w:tc>
        <w:tc>
          <w:tcPr>
            <w:tcW w:type="dxa" w:w="2880"/>
          </w:tcPr>
          <w:p>
            <w:r>
              <w:t>Assumption review with Jennifer Vasquez</w:t>
            </w:r>
          </w:p>
        </w:tc>
      </w:tr>
      <w:tr>
        <w:tc>
          <w:tcPr>
            <w:tcW w:type="dxa" w:w="2880"/>
          </w:tcPr>
          <w:p>
            <w:r>
              <w:t>Exhibit of cost basis with and without the lower months</w:t>
            </w:r>
          </w:p>
        </w:tc>
        <w:tc>
          <w:tcPr>
            <w:tcW w:type="dxa" w:w="2880"/>
          </w:tcPr>
          <w:p>
            <w:r>
              <w:t>Jeffrey Ochoa</w:t>
            </w:r>
          </w:p>
        </w:tc>
        <w:tc>
          <w:tcPr>
            <w:tcW w:type="dxa" w:w="2880"/>
          </w:tcPr>
          <w:p>
            <w:r>
              <w:t>Status report to the company</w:t>
            </w:r>
          </w:p>
        </w:tc>
      </w:tr>
      <w:tr>
        <w:tc>
          <w:tcPr>
            <w:tcW w:type="dxa" w:w="2880"/>
          </w:tcPr>
          <w:p>
            <w:r>
              <w:t>Check cost by age against claims totals and enrollment</w:t>
            </w:r>
          </w:p>
        </w:tc>
        <w:tc>
          <w:tcPr>
            <w:tcW w:type="dxa" w:w="2880"/>
          </w:tcPr>
          <w:p>
            <w:r>
              <w:t>Amanda White</w:t>
            </w:r>
          </w:p>
        </w:tc>
        <w:tc>
          <w:tcPr>
            <w:tcW w:type="dxa" w:w="2880"/>
          </w:tcPr>
          <w:p>
            <w:r>
              <w:t>Assumption review with Jennifer Vasquez</w:t>
            </w:r>
          </w:p>
        </w:tc>
      </w:tr>
      <w:tr>
        <w:tc>
          <w:tcPr>
            <w:tcW w:type="dxa" w:w="2880"/>
          </w:tcPr>
          <w:p>
            <w:r>
              <w:t>Note on discount rate support</w:t>
            </w:r>
          </w:p>
        </w:tc>
        <w:tc>
          <w:tcPr>
            <w:tcW w:type="dxa" w:w="2880"/>
          </w:tcPr>
          <w:p>
            <w:r>
              <w:t>Jennifer Vasquez</w:t>
            </w:r>
          </w:p>
        </w:tc>
        <w:tc>
          <w:tcPr>
            <w:tcW w:type="dxa" w:w="2880"/>
          </w:tcPr>
          <w:p>
            <w:r>
              <w:t>Company's rate selection</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Retiree Medical Valuation for Martinez LLC</dc:title>
  <dc:subject/>
  <dc:creator>Jennifer Vasquez</dc:creator>
  <cp:keywords/>
  <dc:description>generated by python-docx</dc:description>
  <cp:lastModifiedBy>Jennifer Vasquez</cp:lastModifiedBy>
  <cp:revision>1</cp:revision>
  <dcterms:created xsi:type="dcterms:W3CDTF">2020-09-29T09:00:00Z</dcterms:created>
  <dcterms:modified xsi:type="dcterms:W3CDTF">2020-09-29T09:00:00Z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