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Reserve Adequacy Review: Progress Report</w:t>
      </w:r>
    </w:p>
    <w:p>
      <w:r>
        <w:t>Prepared for Miller, Cook and Snyder by Megan Dudley, with Jennifer Vasquez and David Sherman. This report covers our work since the October briefing, including the working session in November, and looks ahead to the part of the review that produces our own estimate.</w:t>
      </w:r>
    </w:p>
    <w:p>
      <w:pPr>
        <w:pStyle w:val="Heading2"/>
      </w:pPr>
      <w:r>
        <w:t>Where the review stands</w:t>
      </w:r>
    </w:p>
    <w:p>
      <w:r>
        <w:t>We are roughly halfway through the review, and the part we expected to take longest is now behind us. The data are settled. The reserve detail reconciles to your year-end figures, the individual fields our model relies on have been checked, and every item on our original request has been received. David Sherman has also reproduced your carried reserves using your own methods and assumptions, which tells us that the model reads the records the same way your process does. What we have not yet done, and have deliberately held back from, is form any view of our own on whether the reserves are adequate. That is the work of the next phase.</w:t>
      </w:r>
    </w:p>
    <w:p>
      <w:r>
        <w:t>The time charged so far sits within the budget of $78,000 set out in our engagement letter, and on what we know today we expect the remaining work to fit within it as well.</w:t>
      </w:r>
    </w:p>
    <w:p>
      <w:pPr>
        <w:pStyle w:val="Heading2"/>
      </w:pPr>
      <w:r>
        <w:t>What we completed this period</w:t>
      </w:r>
    </w:p>
    <w:p>
      <w:r>
        <w:t>Most of these weeks went to the data, as we said they would. Once the replacement extract had resolved the duplicated records, David Sherman moved from totals to the fields themselves. That work found one real problem, a small group of records whose incurred date fell after the valuation date. For a time we used the date each claim was reported in its place, and noted that in our working papers, so that the reconciliation could keep moving. Your team then confirmed that the dates had been keyed in error and sent corrected ones, which are now loaded. Our provisional treatment has been withdrawn, and the data log shows the original entry, the correction, and where the correction came from.</w:t>
      </w:r>
    </w:p>
    <w:p>
      <w:r>
        <w:t>Alongside that, Jennifer Vasquez has worked through the documentation of your methods and assumptions. She has sorted the assumptions into those that are prescribed and those that rest on judgment, and it is the second group where our attention will go from here. The documentation records one change of assumption made during the year, and the analysis behind that change has since reached us. We are grateful to your team for finding it, since it lets us review the change on the basis your team actually used.</w:t>
      </w:r>
    </w:p>
    <w:p>
      <w:r>
        <w:t>The November session was, for us, the most useful conversation of the engagement so far. Learning that the claim system was replaced partway through the period our claim history covers, and that claim handling changed around the same time, has shaped our thinking about the assumptions more than anything in the files could have.</w:t>
      </w:r>
    </w:p>
    <w:p>
      <w:pPr>
        <w:pStyle w:val="Heading2"/>
      </w:pPr>
      <w:r>
        <w:t>The work ahead</w:t>
      </w:r>
    </w:p>
    <w:p>
      <w:r>
        <w:t>Our main task now is to build our own estimate of the reserves required. Before we can build it, one judgment has to be made, and it is ours to make: whether the claim experience from before the system replacement belongs in the period we use to set our assumptions. If claims were handled differently then, the older experience may describe a pattern that no longer applies, and relying on it could make the reserves look stronger or weaker than they are. Jennifer Vasquez set out the candidate periods in her note after the session. We intend to build the estimate on one period and show the other alongside it, so that anyone reading the report can see how much the choice matters.</w:t>
      </w:r>
    </w:p>
    <w:p>
      <w:r>
        <w:t>Once the estimate is built, David Sherman will compare it with the carried reserves and trace any difference to its source, whether that is the data, the method, or an assumption. Jennifer Vasquez will review each exhibit before it leaves our office. We expect to bring preliminary results to a working session early in the new year and to follow that with the draft report, which will keep what the data show, what we assumed, and what we conclude in separate places, as the engagement letter promised.</w:t>
      </w:r>
    </w:p>
    <w:p>
      <w:pPr>
        <w:pStyle w:val="Heading2"/>
      </w:pPr>
      <w:r>
        <w:t>What could move the timetable</w:t>
      </w:r>
    </w:p>
    <w:p>
      <w:r>
        <w:t>The item we are watching most closely is the written description of the system replacement and the change in claim handling, which we asked for at the session and which has not yet arrived. We would much prefer to base the choice of period on your own account of what changed, because an inference drawn from the data alone is harder to defend in a report that will be read by people who were not in the room. If the description has not reached us by the time the estimate is ready to run, we will go ahead on our reading of the data, test both periods, and say plainly in the report that the choice rests on our inference, not on your records.</w:t>
      </w:r>
    </w:p>
    <w:p>
      <w:r>
        <w:t>The holiday weeks are the other thing on our minds, simply because a question that would normally be answered in a day can take a week at this time of year, so we have tried to ask for everything we can foresee needing before then. The small residual difference in the replication has not yet been fully explained. We mention it only so that it does not come as a surprise later; it is not a finding, and David Sherman expects to account for it before the estimate is run.</w:t>
      </w:r>
    </w:p>
    <w:p>
      <w:pPr>
        <w:pStyle w:val="Heading2"/>
      </w:pPr>
      <w:r>
        <w:t>What we need from you</w:t>
      </w:r>
    </w:p>
    <w:p>
      <w:r>
        <w:t>The one thing we need next is that written description of the claim system replacement and the change in claim handling that came with it, including when each took effect. I will log it as soon as it arrives and pass it to Jennifer Vasquez the same day.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Reserve Adequacy Review for Miller, Cook and Snyder</dc:title>
  <dc:subject/>
  <dc:creator>Megan Dudley</dc:creator>
  <cp:keywords/>
  <dc:description>generated by python-docx</dc:description>
  <cp:lastModifiedBy>Megan Dudley</cp:lastModifiedBy>
  <cp:revision>1</cp:revision>
  <dcterms:created xsi:type="dcterms:W3CDTF">2017-12-04T09:00:00Z</dcterms:created>
  <dcterms:modified xsi:type="dcterms:W3CDTF">2017-12-04T09:00:00Z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