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Reserve Adequacy Review: Working Session Minutes</w:t>
      </w:r>
    </w:p>
    <w:p>
      <w:r>
        <w:t>Summary: the data position for the review is settled. Two questions bearing on the assumptions remain open, and both must be resolved before work can begin on an independent estimate of the reserves Miller, Cook and Snyder requires. Each open item has an owner in the table at the end of these minutes.</w:t>
      </w:r>
    </w:p>
    <w:p>
      <w:pPr>
        <w:pStyle w:val="Heading2"/>
      </w:pPr>
      <w:r>
        <w:t>Attendees</w:t>
      </w:r>
    </w:p>
    <w:p>
      <w:pPr>
        <w:pStyle w:val="ListBullet"/>
      </w:pPr>
      <w:r>
        <w:t>Michelle Hudson, Director of Operations, Miller, Cook and Snyder</w:t>
      </w:r>
    </w:p>
    <w:p>
      <w:pPr>
        <w:pStyle w:val="ListBullet"/>
      </w:pPr>
      <w:r>
        <w:t>Jennifer Vasquez, Consulting Actuary</w:t>
      </w:r>
    </w:p>
    <w:p>
      <w:pPr>
        <w:pStyle w:val="ListBullet"/>
      </w:pPr>
      <w:r>
        <w:t>David Sherman, Senior Analyst (minutes)</w:t>
      </w:r>
    </w:p>
    <w:p>
      <w:pPr>
        <w:pStyle w:val="ListBullet"/>
      </w:pPr>
      <w:r>
        <w:t>Megan Dudley, Actuarial Associate</w:t>
      </w:r>
    </w:p>
    <w:p>
      <w:pPr>
        <w:pStyle w:val="Heading2"/>
      </w:pPr>
      <w:r>
        <w:t>Discussion</w:t>
      </w:r>
    </w:p>
    <w:p>
      <w:r>
        <w:t>1. Data. David Sherman reported that the field-level checks on the replacement extract are complete. Apart from the records with an incurred date later than the valuation date, raised in October, the fields the model draws on are internally consistent. Michelle Hudson confirmed that those dates were keyed in error. Corrected dates have been supplied and loaded, and the reported date is no longer being used in their place. The data log shows the original entry, the correction, and its source.</w:t>
      </w:r>
    </w:p>
    <w:p>
      <w:r>
        <w:t>2. Replication. David Sherman has reproduced the carried reserves using the client's own methods and assumptions. The reproduction agrees with the carried total closely enough to show that the model reads the records the way the client's process does. A small residual difference has not yet been traced and is not being treated as a finding. No estimate of our own has been produced, and none was presented at the session.</w:t>
      </w:r>
    </w:p>
    <w:p>
      <w:r>
        <w:t>3. Methods and assumptions. Jennifer Vasquez summarized her review of the documentation. The assumptions divide into those that are prescribed and those that rest on judgment, and the second group is where the review will concentrate. The documentation records one change of assumption during the year but does not include the analysis that supported it. Michelle Hudson undertook to locate that analysis.</w:t>
      </w:r>
    </w:p>
    <w:p>
      <w:r>
        <w:t>4. Experience period. Michelle Hudson reported that the claim system was replaced partway through the period covered by the claim history, and that claim handling practice changed at about the same time. Jennifer Vasquez noted that if the earlier experience reflects a different practice, it may not be a reliable guide to how the current claims will run off. The choice of period is a matter of actuarial judgment and will be documented as such in the report. She asked for a written description of what changed and when, so that the choice rests on the client's account rather than on an inference from the data. No decision on the period was taken.</w:t>
      </w:r>
    </w:p>
    <w:p>
      <w:r>
        <w:t>5. Requests and timetable. Megan Dudley confirmed that every item on the original data request has now been received. The work is on the schedule set out in the engagement letter. The next working session will review preliminary estimates, once the first two action items below are complete and the period has been settled.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w:t>
            </w:r>
          </w:p>
        </w:tc>
        <w:tc>
          <w:tcPr>
            <w:tcW w:type="dxa" w:w="2880"/>
          </w:tcPr>
          <w:p>
            <w:r>
              <w:rPr>
                <w:b/>
              </w:rPr>
              <w:t>Action</w:t>
            </w:r>
          </w:p>
        </w:tc>
        <w:tc>
          <w:tcPr>
            <w:tcW w:type="dxa" w:w="2880"/>
          </w:tcPr>
          <w:p>
            <w:r>
              <w:rPr>
                <w:b/>
              </w:rPr>
              <w:t>Owner</w:t>
            </w:r>
          </w:p>
        </w:tc>
      </w:tr>
      <w:tr>
        <w:tc>
          <w:tcPr>
            <w:tcW w:type="dxa" w:w="2880"/>
          </w:tcPr>
          <w:p>
            <w:r>
              <w:t>1</w:t>
            </w:r>
          </w:p>
        </w:tc>
        <w:tc>
          <w:tcPr>
            <w:tcW w:type="dxa" w:w="2880"/>
          </w:tcPr>
          <w:p>
            <w:r>
              <w:t>Provide a written description of the claim system replacement and the change in claim handling practice, including when each took effect.</w:t>
            </w:r>
          </w:p>
        </w:tc>
        <w:tc>
          <w:tcPr>
            <w:tcW w:type="dxa" w:w="2880"/>
          </w:tcPr>
          <w:p>
            <w:r>
              <w:t>Michelle Hudson</w:t>
            </w:r>
          </w:p>
        </w:tc>
      </w:tr>
      <w:tr>
        <w:tc>
          <w:tcPr>
            <w:tcW w:type="dxa" w:w="2880"/>
          </w:tcPr>
          <w:p>
            <w:r>
              <w:t>2</w:t>
            </w:r>
          </w:p>
        </w:tc>
        <w:tc>
          <w:tcPr>
            <w:tcW w:type="dxa" w:w="2880"/>
          </w:tcPr>
          <w:p>
            <w:r>
              <w:t>Locate the analysis that supported the assumption change made during the year.</w:t>
            </w:r>
          </w:p>
        </w:tc>
        <w:tc>
          <w:tcPr>
            <w:tcW w:type="dxa" w:w="2880"/>
          </w:tcPr>
          <w:p>
            <w:r>
              <w:t>Michelle Hudson</w:t>
            </w:r>
          </w:p>
        </w:tc>
      </w:tr>
      <w:tr>
        <w:tc>
          <w:tcPr>
            <w:tcW w:type="dxa" w:w="2880"/>
          </w:tcPr>
          <w:p>
            <w:r>
              <w:t>3</w:t>
            </w:r>
          </w:p>
        </w:tc>
        <w:tc>
          <w:tcPr>
            <w:tcW w:type="dxa" w:w="2880"/>
          </w:tcPr>
          <w:p>
            <w:r>
              <w:t>Send the client a short note setting out the candidate experience periods and how each would be tested.</w:t>
            </w:r>
          </w:p>
        </w:tc>
        <w:tc>
          <w:tcPr>
            <w:tcW w:type="dxa" w:w="2880"/>
          </w:tcPr>
          <w:p>
            <w:r>
              <w:t>Jennifer Vasquez</w:t>
            </w:r>
          </w:p>
        </w:tc>
      </w:tr>
      <w:tr>
        <w:tc>
          <w:tcPr>
            <w:tcW w:type="dxa" w:w="2880"/>
          </w:tcPr>
          <w:p>
            <w:r>
              <w:t>4</w:t>
            </w:r>
          </w:p>
        </w:tc>
        <w:tc>
          <w:tcPr>
            <w:tcW w:type="dxa" w:w="2880"/>
          </w:tcPr>
          <w:p>
            <w:r>
              <w:t>Trace the residual difference in the replication and record the explanation in the data log.</w:t>
            </w:r>
          </w:p>
        </w:tc>
        <w:tc>
          <w:tcPr>
            <w:tcW w:type="dxa" w:w="2880"/>
          </w:tcPr>
          <w:p>
            <w:r>
              <w:t>David Sherman</w:t>
            </w:r>
          </w:p>
        </w:tc>
      </w:tr>
      <w:tr>
        <w:tc>
          <w:tcPr>
            <w:tcW w:type="dxa" w:w="2880"/>
          </w:tcPr>
          <w:p>
            <w:r>
              <w:t>5</w:t>
            </w:r>
          </w:p>
        </w:tc>
        <w:tc>
          <w:tcPr>
            <w:tcW w:type="dxa" w:w="2880"/>
          </w:tcPr>
          <w:p>
            <w:r>
              <w:t>Log items 1 and 2 on receipt and circulate them to the team.</w:t>
            </w:r>
          </w:p>
        </w:tc>
        <w:tc>
          <w:tcPr>
            <w:tcW w:type="dxa" w:w="2880"/>
          </w:tcPr>
          <w:p>
            <w:r>
              <w:t>Megan Dudley</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Reserve Adequacy Review for Miller, Cook and Snyder</dc:title>
  <dc:subject/>
  <dc:creator>David Sherman</dc:creator>
  <cp:keywords/>
  <dc:description>generated by python-docx</dc:description>
  <cp:lastModifiedBy>David Sherman</cp:lastModifiedBy>
  <cp:revision>1</cp:revision>
  <dcterms:created xsi:type="dcterms:W3CDTF">2017-11-14T09:00:00Z</dcterms:created>
  <dcterms:modified xsi:type="dcterms:W3CDTF">2017-11-14T09:00:00Z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