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Funding Policy Study for Wells, Walsh and Martinez: Status at the Midpoint</w:t>
      </w:r>
    </w:p>
    <w:p>
      <w:r>
        <w:t>Prepared by Michelle Banks, with David Sherman and Robert Lawrence. This report covers the period since our working session. It sets out where the study stands, what remains, and what could affect the schedule.</w:t>
      </w:r>
    </w:p>
    <w:p>
      <w:pPr>
        <w:pStyle w:val="Heading2"/>
      </w:pPr>
      <w:r>
        <w:t>Where the study stands</w:t>
      </w:r>
    </w:p>
    <w:p>
      <w:r>
        <w:t>The study is on schedule and within its fee. The data are settled, the baseline model is in place, and the company's objectives for the policy have been confirmed in writing.</w:t>
      </w:r>
    </w:p>
    <w:p>
      <w:r>
        <w:t>David Sherman has run the current practice and the three alternative policies under the central assumptions. Those results are preliminary. Robert Lawrence has not yet reviewed them, and we have not formed a recommendation.</w:t>
      </w:r>
    </w:p>
    <w:p>
      <w:r>
        <w:t>Nothing in this report is a finding. Where a statement depends on work still under review, it says so.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Part of the study</w:t>
            </w:r>
          </w:p>
        </w:tc>
        <w:tc>
          <w:tcPr>
            <w:tcW w:type="dxa" w:w="2880"/>
          </w:tcPr>
          <w:p>
            <w:r>
              <w:rPr>
                <w:b/>
              </w:rPr>
              <w:t>Position</w:t>
            </w:r>
          </w:p>
        </w:tc>
      </w:tr>
      <w:tr>
        <w:tc>
          <w:tcPr>
            <w:tcW w:type="dxa" w:w="2880"/>
          </w:tcPr>
          <w:p>
            <w:r>
              <w:t>1</w:t>
            </w:r>
          </w:p>
        </w:tc>
        <w:tc>
          <w:tcPr>
            <w:tcW w:type="dxa" w:w="2880"/>
          </w:tcPr>
          <w:p>
            <w:r>
              <w:t>Data intake and checks</w:t>
            </w:r>
          </w:p>
        </w:tc>
        <w:tc>
          <w:tcPr>
            <w:tcW w:type="dxa" w:w="2880"/>
          </w:tcPr>
          <w:p>
            <w:r>
              <w:t>Complete</w:t>
            </w:r>
          </w:p>
        </w:tc>
      </w:tr>
      <w:tr>
        <w:tc>
          <w:tcPr>
            <w:tcW w:type="dxa" w:w="2880"/>
          </w:tcPr>
          <w:p>
            <w:r>
              <w:t>2</w:t>
            </w:r>
          </w:p>
        </w:tc>
        <w:tc>
          <w:tcPr>
            <w:tcW w:type="dxa" w:w="2880"/>
          </w:tcPr>
          <w:p>
            <w:r>
              <w:t>Baseline model</w:t>
            </w:r>
          </w:p>
        </w:tc>
        <w:tc>
          <w:tcPr>
            <w:tcW w:type="dxa" w:w="2880"/>
          </w:tcPr>
          <w:p>
            <w:r>
              <w:t>Complete</w:t>
            </w:r>
          </w:p>
        </w:tc>
      </w:tr>
      <w:tr>
        <w:tc>
          <w:tcPr>
            <w:tcW w:type="dxa" w:w="2880"/>
          </w:tcPr>
          <w:p>
            <w:r>
              <w:t>3</w:t>
            </w:r>
          </w:p>
        </w:tc>
        <w:tc>
          <w:tcPr>
            <w:tcW w:type="dxa" w:w="2880"/>
          </w:tcPr>
          <w:p>
            <w:r>
              <w:t>Objectives</w:t>
            </w:r>
          </w:p>
        </w:tc>
        <w:tc>
          <w:tcPr>
            <w:tcW w:type="dxa" w:w="2880"/>
          </w:tcPr>
          <w:p>
            <w:r>
              <w:t>Confirmed by the company in writing</w:t>
            </w:r>
          </w:p>
        </w:tc>
      </w:tr>
      <w:tr>
        <w:tc>
          <w:tcPr>
            <w:tcW w:type="dxa" w:w="2880"/>
          </w:tcPr>
          <w:p>
            <w:r>
              <w:t>4</w:t>
            </w:r>
          </w:p>
        </w:tc>
        <w:tc>
          <w:tcPr>
            <w:tcW w:type="dxa" w:w="2880"/>
          </w:tcPr>
          <w:p>
            <w:r>
              <w:t>Projections</w:t>
            </w:r>
          </w:p>
        </w:tc>
        <w:tc>
          <w:tcPr>
            <w:tcW w:type="dxa" w:w="2880"/>
          </w:tcPr>
          <w:p>
            <w:r>
              <w:t>Central runs done and awaiting review; scenario runs not started</w:t>
            </w:r>
          </w:p>
        </w:tc>
      </w:tr>
      <w:tr>
        <w:tc>
          <w:tcPr>
            <w:tcW w:type="dxa" w:w="2880"/>
          </w:tcPr>
          <w:p>
            <w:r>
              <w:t>5</w:t>
            </w:r>
          </w:p>
        </w:tc>
        <w:tc>
          <w:tcPr>
            <w:tcW w:type="dxa" w:w="2880"/>
          </w:tcPr>
          <w:p>
            <w:r>
              <w:t>Report and presentation</w:t>
            </w:r>
          </w:p>
        </w:tc>
        <w:tc>
          <w:tcPr>
            <w:tcW w:type="dxa" w:w="2880"/>
          </w:tcPr>
          <w:p>
            <w:r>
              <w:t>Not started</w:t>
            </w:r>
          </w:p>
        </w:tc>
      </w:tr>
    </w:tbl>
    <w:p>
      <w:pPr>
        <w:pStyle w:val="Heading2"/>
      </w:pPr>
      <w:r>
        <w:t>Done since the working session</w:t>
      </w:r>
    </w:p>
    <w:p>
      <w:r>
        <w:t>1. Data. Your staff confirmed through the plan's recordkeeper that the remaining former-employee records belong to people already paid. We have removed them from the projection data and recorded the change, with its source, in our data log.</w:t>
      </w:r>
    </w:p>
    <w:p>
      <w:r>
        <w:t>2. Objectives. Robert Lawrence sent the written summary of the company's four aims, and the company confirmed it as written. Our recommendation will be measured against that summary.</w:t>
      </w:r>
    </w:p>
    <w:p>
      <w:r>
        <w:t>3. Central projections. David Sherman projected contributions, funded status, and PBGC premiums for the current practice and each alternative. The starting point of every projection agrees with the most recent valuation report, as shown at the session. As agreed there, the results also show how near the third policy comes to removing the PBGC variable-rate premium.</w:t>
      </w:r>
    </w:p>
    <w:p>
      <w:r>
        <w:t>4. Scenarios. The lower-return and falling-rate scenarios have been drafted and reviewed within our team. They will come to you with the preliminary results, so that you can see what each one assumes before anyone draws a conclusion from it.</w:t>
      </w:r>
    </w:p>
    <w:p>
      <w:pPr>
        <w:pStyle w:val="Heading2"/>
      </w:pPr>
      <w:r>
        <w:t>Budget</w:t>
      </w:r>
    </w:p>
    <w:p>
      <w:r>
        <w:t>The study is being performed for a fixed fee of $32,500. The work to date has stayed within the scope that fee covers, and we do not expect to ask for any change to it.</w:t>
      </w:r>
    </w:p>
    <w:p>
      <w:r>
        <w:t>If the company asks for policies or scenarios beyond those agreed at the working session, we will describe the added work and its cost in writing before we begin it.</w:t>
      </w:r>
    </w:p>
    <w:p>
      <w:pPr>
        <w:pStyle w:val="Heading2"/>
      </w:pPr>
      <w:r>
        <w:t>Next in the work</w:t>
      </w:r>
    </w:p>
    <w:p>
      <w:r>
        <w:t>1. Robert Lawrence will review the central projections. Any correction he asks for will be made before results leave the firm.</w:t>
      </w:r>
    </w:p>
    <w:p>
      <w:r>
        <w:t>2. David Sherman will run each policy under the two scenarios. We will report the results as a range across the scenarios, not as a single figure for each policy.</w:t>
      </w:r>
    </w:p>
    <w:p>
      <w:r>
        <w:t>3. We will send you the preliminary results with a short note on how to read them. A second working session will follow to go through them with you.</w:t>
      </w:r>
    </w:p>
    <w:p>
      <w:r>
        <w:t>4. Robert Lawrence will draft the report, with Michelle Banks writing the sections on data and methods. The draft will keep apart what the data show, what we assumed, and what we conclude.</w:t>
      </w:r>
    </w:p>
    <w:p>
      <w:r>
        <w:t>5. Michelle Banks will check each policy's projected contribution against the legal minimum and the deduction limit in every projected year, so that no policy we present breaks either bound.</w:t>
      </w:r>
    </w:p>
    <w:p>
      <w:pPr>
        <w:pStyle w:val="Heading2"/>
      </w:pPr>
      <w:r>
        <w:t>What could move the schedule</w:t>
      </w:r>
    </w:p>
    <w:p>
      <w:r>
        <w:t>1. Interest rates. The projections begin from the assumptions of the most recent valuation. If rates have moved materially by the time we report, we will show the effect as a separate step and leave the baseline as it is.</w:t>
      </w:r>
    </w:p>
    <w:p>
      <w:r>
        <w:t>2. Plan changes. The study assumes the plan's benefits stay as they are. If the company is considering a change to who may join the plan or how benefits are paid, we need to know before the scenario runs, because it would alter every projection.</w:t>
      </w:r>
    </w:p>
    <w:p>
      <w:r>
        <w:t>3. The second working session. It needs the right people from the company in the room. Fixing a time for it early will help keep the draft report on schedule.</w:t>
      </w:r>
    </w:p>
    <w:p>
      <w:r>
        <w:t>4. Preliminary figures. The central projections may change once Robert Lawrence has reviewed them. We ask that they not be circulated beyond the company's management until then.</w:t>
      </w:r>
    </w:p>
    <w:p>
      <w:r>
        <w:t>5. Changes since the valuation date. The projections use the plan's membership as of its last valuation. A large change since then, such as a group of retirements, would be worth telling us about, even informally.</w:t>
      </w:r>
    </w:p>
    <w:p>
      <w:r>
        <w:t>Questions about data can come to Michelle Banks, questions about the model to David Sherman, and questions of scope or judgment to Robert Lawrence.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Funding Policy Study for Wells, Walsh and Martinez</dc:title>
  <dc:subject/>
  <dc:creator>Michelle Banks</dc:creator>
  <cp:keywords/>
  <dc:description>generated by python-docx</dc:description>
  <cp:lastModifiedBy>Michelle Banks</cp:lastModifiedBy>
  <cp:revision>1</cp:revision>
  <dcterms:created xsi:type="dcterms:W3CDTF">2023-06-23T09:00:00Z</dcterms:created>
  <dcterms:modified xsi:type="dcterms:W3CDTF">2023-06-23T09:00:00Z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