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Funding Policy Study: Working Session Notes</w:t>
      </w:r>
    </w:p>
    <w:p>
      <w:r>
        <w:t>We met with Lisa Hubbard to go over the baseline and to settle what Wells, Walsh and Martinez wants its funding policy to do. These notes are for the engagement file and for the company. Robert Lawrence prepared them.</w:t>
      </w:r>
    </w:p>
    <w:p>
      <w:pPr>
        <w:pStyle w:val="Heading2"/>
      </w:pPr>
      <w:r>
        <w:t>Present</w:t>
      </w:r>
    </w:p>
    <w:p>
      <w:pPr>
        <w:pStyle w:val="ListBullet"/>
      </w:pPr>
      <w:r>
        <w:t>Lisa Hubbard, Chief Operating Officer, Wells, Walsh and Martinez</w:t>
      </w:r>
    </w:p>
    <w:p>
      <w:pPr>
        <w:pStyle w:val="ListBullet"/>
      </w:pPr>
      <w:r>
        <w:t>Robert Lawrence, Managing Actuary</w:t>
      </w:r>
    </w:p>
    <w:p>
      <w:pPr>
        <w:pStyle w:val="ListBullet"/>
      </w:pPr>
      <w:r>
        <w:t>Michelle Banks, Actuarial Associate</w:t>
      </w:r>
    </w:p>
    <w:p>
      <w:pPr>
        <w:pStyle w:val="ListBullet"/>
      </w:pPr>
      <w:r>
        <w:t>David Sherman, Senior Analyst</w:t>
      </w:r>
    </w:p>
    <w:p>
      <w:pPr>
        <w:pStyle w:val="Heading2"/>
      </w:pPr>
      <w:r>
        <w:t>What we covered</w:t>
      </w:r>
    </w:p>
    <w:p>
      <w:r>
        <w:t>1. The data. Michelle Banks reported that the checks on active employees and retirees are complete. The benefit statements Lisa Hubbard's staff sent us resolved most of the difference in the count of former employees with deferred benefits. The records that remain appear to belong to people who have already been paid. Lisa Hubbard will confirm this with the plan's recordkeeper. Until she does, we are keeping those records in the data and logging that as an assumption.</w:t>
      </w:r>
    </w:p>
    <w:p>
      <w:r>
        <w:t>2. The baseline. David Sherman showed that our model reproduces the liabilities and the minimum required contribution in the most recent valuation report. The differences that remain are small, and he has traced each one to a known cause. We are satisfied the model is a sound place to start. It reflects the plan as of its last valuation date, and every projection we show will say so.</w:t>
      </w:r>
    </w:p>
    <w:p>
      <w:r>
        <w:t>3. The company's objectives. We spent most of the session here. Lisa Hubbard told us what the company needs from the policy, and we wrote it down in her terms. She named four aims.</w:t>
      </w:r>
    </w:p>
    <w:p>
      <w:pPr>
        <w:pStyle w:val="ListBullet"/>
      </w:pPr>
      <w:r>
        <w:t>A contribution the company can set in its budget a year ahead.</w:t>
      </w:r>
    </w:p>
    <w:p>
      <w:pPr>
        <w:pStyle w:val="ListBullet"/>
      </w:pPr>
      <w:r>
        <w:t>Smaller swings in that contribution when interest rates move.</w:t>
      </w:r>
    </w:p>
    <w:p>
      <w:pPr>
        <w:pStyle w:val="ListBullet"/>
      </w:pPr>
      <w:r>
        <w:t>PBGC premiums counted as part of the cost of each policy.</w:t>
      </w:r>
    </w:p>
    <w:p>
      <w:pPr>
        <w:pStyle w:val="ListBullet"/>
      </w:pPr>
      <w:r>
        <w:t>A funded level that stays clear of the points at which the law restricts certain benefit payments.</w:t>
      </w:r>
    </w:p>
    <w:p>
      <w:r>
        <w:t>We will send her a written summary of these aims to confirm. The recommendation will be judged against them, so we want the wording to be hers.</w:t>
      </w:r>
    </w:p>
    <w:p>
      <w:r>
        <w:t>4. The alternatives. We agreed to model three policies beside the current practice. The first contributes the legal minimum each year. The second sets a level contribution for several years at a time and resets it on a schedule. The third aims to bring the plan to full funding over a fixed period. David Sherman will run them under a central set of assumptions first.</w:t>
      </w:r>
    </w:p>
    <w:p>
      <w:r>
        <w:t>Lisa Hubbard asked whether a fourth policy, one that contributes enough each year to avoid the PBGC variable-rate premium, was worth modeling. It may turn out to sit close to the third. We agreed that David Sherman will show how near the third policy comes before we add another.</w:t>
      </w:r>
    </w:p>
    <w:p>
      <w:r>
        <w:t>5. Scenarios. We also agreed to test each policy under lower investment returns and under a fall in interest rates. Robert Lawrence reminded the group that these are illustrations and not predictions. The report will keep the projected results apart from the assumptions behind them, and our judgment apart from both.</w:t>
      </w:r>
    </w:p>
    <w:p>
      <w:pPr>
        <w:pStyle w:val="Heading2"/>
      </w:pPr>
      <w:r>
        <w:t>Actions agreed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Action</w:t>
            </w:r>
          </w:p>
        </w:tc>
        <w:tc>
          <w:tcPr>
            <w:tcW w:type="dxa" w:w="2880"/>
          </w:tcPr>
          <w:p>
            <w:r>
              <w:rPr>
                <w:b/>
              </w:rPr>
              <w:t>Owner</w:t>
            </w:r>
          </w:p>
        </w:tc>
      </w:tr>
      <w:tr>
        <w:tc>
          <w:tcPr>
            <w:tcW w:type="dxa" w:w="2880"/>
          </w:tcPr>
          <w:p>
            <w:r>
              <w:t>1</w:t>
            </w:r>
          </w:p>
        </w:tc>
        <w:tc>
          <w:tcPr>
            <w:tcW w:type="dxa" w:w="2880"/>
          </w:tcPr>
          <w:p>
            <w:r>
              <w:t>Confirm with the plan's recordkeeper whether the remaining former-employee records have been paid.</w:t>
            </w:r>
          </w:p>
        </w:tc>
        <w:tc>
          <w:tcPr>
            <w:tcW w:type="dxa" w:w="2880"/>
          </w:tcPr>
          <w:p>
            <w:r>
              <w:t>Lisa Hubbard</w:t>
            </w:r>
          </w:p>
        </w:tc>
      </w:tr>
      <w:tr>
        <w:tc>
          <w:tcPr>
            <w:tcW w:type="dxa" w:w="2880"/>
          </w:tcPr>
          <w:p>
            <w:r>
              <w:t>2</w:t>
            </w:r>
          </w:p>
        </w:tc>
        <w:tc>
          <w:tcPr>
            <w:tcW w:type="dxa" w:w="2880"/>
          </w:tcPr>
          <w:p>
            <w:r>
              <w:t>Send a written summary of the company's four aims for confirmation.</w:t>
            </w:r>
          </w:p>
        </w:tc>
        <w:tc>
          <w:tcPr>
            <w:tcW w:type="dxa" w:w="2880"/>
          </w:tcPr>
          <w:p>
            <w:r>
              <w:t>Robert Lawrence</w:t>
            </w:r>
          </w:p>
        </w:tc>
      </w:tr>
      <w:tr>
        <w:tc>
          <w:tcPr>
            <w:tcW w:type="dxa" w:w="2880"/>
          </w:tcPr>
          <w:p>
            <w:r>
              <w:t>3</w:t>
            </w:r>
          </w:p>
        </w:tc>
        <w:tc>
          <w:tcPr>
            <w:tcW w:type="dxa" w:w="2880"/>
          </w:tcPr>
          <w:p>
            <w:r>
              <w:t>Run the current practice and the three alternatives under the central assumptions.</w:t>
            </w:r>
          </w:p>
        </w:tc>
        <w:tc>
          <w:tcPr>
            <w:tcW w:type="dxa" w:w="2880"/>
          </w:tcPr>
          <w:p>
            <w:r>
              <w:t>David Sherman</w:t>
            </w:r>
          </w:p>
        </w:tc>
      </w:tr>
      <w:tr>
        <w:tc>
          <w:tcPr>
            <w:tcW w:type="dxa" w:w="2880"/>
          </w:tcPr>
          <w:p>
            <w:r>
              <w:t>4</w:t>
            </w:r>
          </w:p>
        </w:tc>
        <w:tc>
          <w:tcPr>
            <w:tcW w:type="dxa" w:w="2880"/>
          </w:tcPr>
          <w:p>
            <w:r>
              <w:t>Show how near the third policy comes to removing the variable-rate premium.</w:t>
            </w:r>
          </w:p>
        </w:tc>
        <w:tc>
          <w:tcPr>
            <w:tcW w:type="dxa" w:w="2880"/>
          </w:tcPr>
          <w:p>
            <w:r>
              <w:t>David Sherman</w:t>
            </w:r>
          </w:p>
        </w:tc>
      </w:tr>
      <w:tr>
        <w:tc>
          <w:tcPr>
            <w:tcW w:type="dxa" w:w="2880"/>
          </w:tcPr>
          <w:p>
            <w:r>
              <w:t>5</w:t>
            </w:r>
          </w:p>
        </w:tc>
        <w:tc>
          <w:tcPr>
            <w:tcW w:type="dxa" w:w="2880"/>
          </w:tcPr>
          <w:p>
            <w:r>
              <w:t>Draft the two scenarios and circulate them internally before they are run.</w:t>
            </w:r>
          </w:p>
        </w:tc>
        <w:tc>
          <w:tcPr>
            <w:tcW w:type="dxa" w:w="2880"/>
          </w:tcPr>
          <w:p>
            <w:r>
              <w:t>David Sherman</w:t>
            </w:r>
          </w:p>
        </w:tc>
      </w:tr>
      <w:tr>
        <w:tc>
          <w:tcPr>
            <w:tcW w:type="dxa" w:w="2880"/>
          </w:tcPr>
          <w:p>
            <w:r>
              <w:t>6</w:t>
            </w:r>
          </w:p>
        </w:tc>
        <w:tc>
          <w:tcPr>
            <w:tcW w:type="dxa" w:w="2880"/>
          </w:tcPr>
          <w:p>
            <w:r>
              <w:t>Update the data log for the deferred-benefit records and the assumption held in their place.</w:t>
            </w:r>
          </w:p>
        </w:tc>
        <w:tc>
          <w:tcPr>
            <w:tcW w:type="dxa" w:w="2880"/>
          </w:tcPr>
          <w:p>
            <w:r>
              <w:t>Michelle Banks</w:t>
            </w:r>
          </w:p>
        </w:tc>
      </w:tr>
    </w:tbl>
    <w:p>
      <w:r>
        <w:t>Our next session will go through the projection results. We thank Lisa Hubbard and her staff for the work they have put into the data.</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Funding Policy Study for Wells, Walsh and Martinez</dc:title>
  <dc:subject/>
  <dc:creator>Robert Lawrence</dc:creator>
  <cp:keywords/>
  <dc:description>generated by python-docx</dc:description>
  <cp:lastModifiedBy>Robert Lawrence</cp:lastModifiedBy>
  <cp:revision>1</cp:revision>
  <dcterms:created xsi:type="dcterms:W3CDTF">2023-06-09T09:00:00Z</dcterms:created>
  <dcterms:modified xsi:type="dcterms:W3CDTF">2023-06-09T09:00:00Z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