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Meridian Actuarial Advisors</w:t>
      </w:r>
    </w:p>
    <w:p>
      <w:r>
        <w:t>We are a consulting actuarial practice. Our work is the measurement of long-term promises: the pensions a public retirement system owes its members, the benefits a multiemployer fund has promised to the people who work under its agreements, and the reserves a life insurer holds against the policies it has written. The people responsible for those promises are boards, trustees, and company officers. They need numbers they can stand behind, and they need to know what those numbers rest on. That is the service we set out to provide.</w:t>
      </w:r>
    </w:p>
    <w:p>
      <w:pPr>
        <w:pStyle w:val="Heading2"/>
      </w:pPr>
      <w:r>
        <w:t>The work</w:t>
      </w:r>
    </w:p>
    <w:p>
      <w:r>
        <w:t>Our practice is organized around three kinds of client. For each of them the work is a regulated opinion, and we perform it under the Actuarial Standards of Practice that apply to it.</w:t>
      </w:r>
    </w:p>
    <w:p>
      <w:pPr>
        <w:pStyle w:val="ListBullet"/>
      </w:pPr>
      <w:r>
        <w:t>1. Public retirement systems. Annual funding valuations, the accounting information a plan and its employers report under GASB Statements No. 67 and No. 68, and experience studies that test the plan's assumptions against what actually happened to its members.</w:t>
      </w:r>
    </w:p>
    <w:p>
      <w:pPr>
        <w:pStyle w:val="ListBullet"/>
      </w:pPr>
      <w:r>
        <w:t>2. Multiemployer benefit funds. Valuations for the board of trustees, the annual certification of the plan's funded status under the Pension Protection Act, and the projections trustees use when they weigh changes to contributions or benefits.</w:t>
      </w:r>
    </w:p>
    <w:p>
      <w:pPr>
        <w:pStyle w:val="ListBullet"/>
      </w:pPr>
      <w:r>
        <w:t>3. Life insurance companies. Reserve valuation, asset adequacy analysis, support for the appointed actuary's opinion and memorandum, and preparation for principle-based reserving, which will change how many companies set reserves on their life business.</w:t>
      </w:r>
    </w:p>
    <w:p>
      <w:pPr>
        <w:pStyle w:val="Heading2"/>
      </w:pPr>
      <w:r>
        <w:t>Before the numbers</w:t>
      </w:r>
    </w:p>
    <w:p>
      <w:r>
        <w:t>Every assignment starts with an engagement letter. It states what we will measure, for whom, as of what date, and under which standards. We take care over that page. In our experience most disagreements about actuarial work turn out to be disagreements about scope, and a clear letter settles them before they start.</w:t>
      </w:r>
    </w:p>
    <w:p>
      <w:r>
        <w:t>Data come next. We rely on information the client supplies: member census records, asset statements, plan documents, policy files. We do not audit those data. We do review them for reasonableness and consistency, against the prior year and against each other, in the manner ASOP No. 23 describes. Our reports say what we tested, what we found, and what we relied on without testing.</w:t>
      </w:r>
    </w:p>
    <w:p>
      <w:pPr>
        <w:pStyle w:val="Heading2"/>
      </w:pPr>
      <w:r>
        <w:t>How our reports read</w:t>
      </w:r>
    </w:p>
    <w:p>
      <w:r>
        <w:t>A report from us keeps three things apart. The first is what the data show. The second is what we assumed. The third is what we conclude from both. A reader should be able to find each one without reading the other two. Where a conclusion depends on an assumption, it gets its own paragraph, and the assumption is named in it. We write plainly. A board member who is not an actuary has to be able to follow the reasoning, and the board's counsel will read the same pages closely.</w:t>
      </w:r>
    </w:p>
    <w:p>
      <w:pPr>
        <w:pStyle w:val="Heading2"/>
      </w:pPr>
      <w:r>
        <w:t>Who you will work with</w:t>
      </w:r>
    </w:p>
    <w:p>
      <w:r>
        <w:t>Robert Lawrence, our Managing Actuary, signs the firm's actuarial opinions. He reviews each assignment when it is scoped and again before anything is released. He is the person to call about scope, about the standards a piece of work falls under, or about a result that needs explaining.</w:t>
      </w:r>
    </w:p>
    <w:p>
      <w:r>
        <w:t>Carol Cooper, our Practice Manager, runs the practice day to day. She prepares engagement letters, keeps the schedule, sends and tracks data requests, and looks after invoicing and the retention of our files. If you are sending us a census file, or have a question about a bill, she is the right first call.</w:t>
      </w:r>
    </w:p>
    <w:p>
      <w:pPr>
        <w:pStyle w:val="Heading2"/>
      </w:pPr>
      <w:r>
        <w:t>What we intend</w:t>
      </w:r>
    </w:p>
    <w:p>
      <w:r>
        <w:t>We are a young firm. We intend to grow as the work requires, and to add people on the consulting side first, so that the actuary who scopes an assignment can still be the one who reviews it. We also take on reviews of another actuary's work for a board or its counsel. We regard that as part of the same discipline, and we hold it to the same standards.</w:t>
      </w:r>
    </w:p>
    <w:p>
      <w:pPr>
        <w:pStyle w:val="Heading2"/>
      </w:pPr>
      <w:r>
        <w:t>Beginning an assignment</w:t>
      </w:r>
    </w:p>
    <w:p>
      <w:r>
        <w:t>We suggest a short conversation before anything is put in writing, because it lets us understand the question before we propose a way to answer it. After that conversation we send a note that sets out:</w:t>
      </w:r>
    </w:p>
    <w:p>
      <w:pPr>
        <w:pStyle w:val="ListBullet"/>
      </w:pPr>
      <w:r>
        <w:t>1. what we understand the question to be;</w:t>
      </w:r>
    </w:p>
    <w:p>
      <w:pPr>
        <w:pStyle w:val="ListBullet"/>
      </w:pPr>
      <w:r>
        <w:t>2. the data we would need, and why each item matters;</w:t>
      </w:r>
    </w:p>
    <w:p>
      <w:pPr>
        <w:pStyle w:val="ListBullet"/>
      </w:pPr>
      <w:r>
        <w:t>3. the standards the work would be performed under; and</w:t>
      </w:r>
    </w:p>
    <w:p>
      <w:pPr>
        <w:pStyle w:val="ListBullet"/>
      </w:pPr>
      <w:r>
        <w:t>4. the timetable and the basis of our fee.</w:t>
      </w:r>
    </w:p>
    <w:p>
      <w:r>
        <w:t>Nothing begins until the client has read that note and agreed with it. If our understanding is wrong, that is the place to find out.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Robert Lawrence</dc:creator>
  <cp:keywords/>
  <dc:description>generated by python-docx</dc:description>
  <cp:lastModifiedBy>Robert Lawrence</cp:lastModifiedBy>
  <cp:revision>1</cp:revision>
  <dcterms:created xsi:type="dcterms:W3CDTF">2016-05-18T09:00:00Z</dcterms:created>
  <dcterms:modified xsi:type="dcterms:W3CDTF">2016-05-18T09:00:00Z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