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Meridian Actuarial Advisors LLC</w:t>
      </w:r>
    </w:p>
    <w:p>
      <w:r>
        <w:t>This overview is written for the boards, trustees, and company officers who are deciding whether to engage us, and for the counsel and staff who advise them. It describes what we do, how an assignment runs, and some of the work we have completed.</w:t>
      </w:r>
    </w:p>
    <w:p>
      <w:pPr>
        <w:pStyle w:val="Heading2"/>
      </w:pPr>
      <w:r>
        <w:t>Our practice</w:t>
      </w:r>
    </w:p>
    <w:p>
      <w:r>
        <w:t>We are consulting actuaries. We measure obligations that run for decades: retirement benefits owed by public systems and multiemployer funds, and the reserves a life insurer holds for its policyholders. Our clients use that work to set contributions, to report to regulators and auditors, and to make decisions about benefits and pricing. Those decisions are theirs. Our part is to tell them, as precisely as the data allow, where they stand and what the measurement depends on.</w:t>
      </w:r>
    </w:p>
    <w:p>
      <w:r>
        <w:t>We have added consulting staff as the work has grown. We have kept one arrangement fixed while doing so: the actuary who scopes an assignment reviews it before it goes out, and the opinion is signed by the person who answers for it.</w:t>
      </w:r>
    </w:p>
    <w:p>
      <w:pPr>
        <w:pStyle w:val="Heading2"/>
      </w:pPr>
      <w:r>
        <w:t>What we are engaged to do</w:t>
      </w:r>
    </w:p>
    <w:p>
      <w:r>
        <w:t>Our services fall under four headings.</w:t>
      </w:r>
    </w:p>
    <w:p>
      <w:pPr>
        <w:pStyle w:val="ListBullet"/>
      </w:pPr>
      <w:r>
        <w:t>1. Public retirement systems: funding valuations, accounting reports under GASB Statements No. 67 and No. 68, experience studies, and the assessment of risk that ASOP No. 51 now asks of pension actuaries.</w:t>
      </w:r>
    </w:p>
    <w:p>
      <w:pPr>
        <w:pStyle w:val="ListBullet"/>
      </w:pPr>
      <w:r>
        <w:t>2. Multiemployer funds: valuations for the trustees, the annual zone certification, and projections in support of a rehabilitation plan or a funding improvement plan.</w:t>
      </w:r>
    </w:p>
    <w:p>
      <w:pPr>
        <w:pStyle w:val="ListBullet"/>
      </w:pPr>
      <w:r>
        <w:t>3. Life insurers: reserve valuation, asset adequacy analysis, support for the appointed actuary's opinion and memorandum, and principle-based reserves under VM-20 as the transition period draws to a close.</w:t>
      </w:r>
    </w:p>
    <w:p>
      <w:pPr>
        <w:pStyle w:val="ListBullet"/>
      </w:pPr>
      <w:r>
        <w:t>4. Reviews: a second opinion on another actuary's valuation or assumptions, prepared for a board or its counsel.</w:t>
      </w:r>
    </w:p>
    <w:p>
      <w:pPr>
        <w:pStyle w:val="Heading2"/>
      </w:pPr>
      <w:r>
        <w:t>Examples of completed work</w:t>
      </w:r>
    </w:p>
    <w:p>
      <w:r>
        <w:t>Clients we have served include Howard and Sons and Miller, Cook and Snyder. Both engagements are complete, and we cite them as examples of the clients we work for. We name a client in material like this only once the work is finished. We say nothing here about the results, which belong to the client.</w:t>
      </w:r>
    </w:p>
    <w:p>
      <w:pPr>
        <w:pStyle w:val="Heading2"/>
      </w:pPr>
      <w:r>
        <w:t>How an assignment runs</w:t>
      </w:r>
    </w:p>
    <w:p>
      <w:r>
        <w:t>The shape of an assignment changes little from one client to the next. A client can expect the following.</w:t>
      </w:r>
    </w:p>
    <w:p>
      <w:pPr>
        <w:pStyle w:val="ListBullet"/>
      </w:pPr>
      <w:r>
        <w:t>1. An engagement letter before any work begins, stating the scope, the measurement date, the standards that apply, and the basis of the fee.</w:t>
      </w:r>
    </w:p>
    <w:p>
      <w:pPr>
        <w:pStyle w:val="ListBullet"/>
      </w:pPr>
      <w:r>
        <w:t>2. A data request that explains why each item is needed. We review what arrives for reasonableness and consistency, and we tell the client in writing about anything we could not reconcile.</w:t>
      </w:r>
    </w:p>
    <w:p>
      <w:pPr>
        <w:pStyle w:val="ListBullet"/>
      </w:pPr>
      <w:r>
        <w:t>3. A draft report for the client's review. It separates what the data show, what we assumed, and what we conclude, so that each can be questioned on its own.</w:t>
      </w:r>
    </w:p>
    <w:p>
      <w:pPr>
        <w:pStyle w:val="ListBullet"/>
      </w:pPr>
      <w:r>
        <w:t>4. A final report and opinion signed by Robert Lawrence, with its reliances and limitations set out in full.</w:t>
      </w:r>
    </w:p>
    <w:p>
      <w:pPr>
        <w:pStyle w:val="Heading2"/>
      </w:pPr>
      <w:r>
        <w:t>Standards</w:t>
      </w:r>
    </w:p>
    <w:p>
      <w:r>
        <w:t>Our work is performed under the Actuarial Standards of Practice. Several of them shape every report we issue: ASOP No. 23 on data quality, ASOP No. 41 on actuarial communications, and, for pension work, ASOP No. 4 and the standards on selecting economic and demographic assumptions. Where we rely on another party, such as a plan's auditor or an investment consultant's capital market assumptions, the report says so. It also says what we did to satisfy ourselves that the reliance was reasonable.</w:t>
      </w:r>
    </w:p>
    <w:p>
      <w:r>
        <w:t>When a standard changes, we tell clients ahead of time how the change will affect what they receive. ASOP No. 51 is the recent case. Our pension reports now include a section on the risks that could make future results differ from the measurement, and on what those differences could mean for contributions. The section is written for the board, not for other actuaries.</w:t>
      </w:r>
    </w:p>
    <w:p>
      <w:pPr>
        <w:pStyle w:val="Heading2"/>
      </w:pPr>
      <w:r>
        <w:t>Talking to us about an assignment</w:t>
      </w:r>
    </w:p>
    <w:p>
      <w:r>
        <w:t>Robert Lawrence, Managing Actuary, is responsible for the firm's actuarial opinions and is the first contact for a new assignment. We usually begin with a conversation about the question the client is trying to answer. A written proposal follows. It sets out our understanding of that question before it says anything about method or fee, so that a misunderstanding can be caught while it is still cheap to correct.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Meridian Actuarial Advisors LLC</w:t>
    </w:r>
  </w:p>
  <w:p>
    <w:r>
      <w:rPr>
        <w:sz w:val="18"/>
      </w:rPr>
      <w:t>www.meridianactuarial.com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Meridian Actuarial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 Overview</dc:title>
  <dc:subject/>
  <dc:creator>Robert Lawrence</dc:creator>
  <cp:keywords/>
  <dc:description>generated by python-docx</dc:description>
  <cp:lastModifiedBy>Robert Lawrence</cp:lastModifiedBy>
  <cp:revision>1</cp:revision>
  <dcterms:created xsi:type="dcterms:W3CDTF">2019-05-18T09:00:00Z</dcterms:created>
  <dcterms:modified xsi:type="dcterms:W3CDTF">2019-05-18T09:00:00Z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