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Meridian Actuarial Advisors</w:t>
      </w:r>
    </w:p>
    <w:p>
      <w:r>
        <w:t>Meridian Actuarial Advisors is a consulting actuarial practice. Our clients are the boards, trustees and officers who answer for long-term obligations: pensions owed to public employees and to the members of multiemployer funds, and the reserves a life insurer holds for the policies it has written. We tell them what those obligations are likely to cost, how much of that estimate rests on assumptions, and what would change it. The decisions are theirs. Our part is to make sure each decision is taken with a clear view of the measurement behind it.</w:t>
      </w:r>
    </w:p>
    <w:p>
      <w:r>
        <w:t>We revise this overview as the practice changes. This version describes the work we take on, the way we handle it, and some of the clients we have served.</w:t>
      </w:r>
    </w:p>
    <w:p>
      <w:pPr>
        <w:pStyle w:val="Heading2"/>
      </w:pPr>
      <w:r>
        <w:t>The work we take on</w:t>
      </w:r>
    </w:p>
    <w:p>
      <w:r>
        <w:t>Most of our assignments fall into a handful of kinds. Each one starts from the same question: what does the client need to know, and by when?</w:t>
      </w:r>
    </w:p>
    <w:p>
      <w:pPr>
        <w:pStyle w:val="ListBullet"/>
      </w:pPr>
      <w:r>
        <w:t>1. Funding valuations for public retirement systems, with the contribution recommendations their boards act on and the accounting disclosures their auditors require.</w:t>
      </w:r>
    </w:p>
    <w:p>
      <w:pPr>
        <w:pStyle w:val="ListBullet"/>
      </w:pPr>
      <w:r>
        <w:t>2. Experience studies, which compare what actually happened to a plan's members or an insurer's policies with what was assumed, and recommend changes where the data support them.</w:t>
      </w:r>
    </w:p>
    <w:p>
      <w:pPr>
        <w:pStyle w:val="ListBullet"/>
      </w:pPr>
      <w:r>
        <w:t>3. Actuarial services for multiemployer funds: valuations for the trustees, the annual certification of funded status, and the projections behind a funding improvement or rehabilitation plan.</w:t>
      </w:r>
    </w:p>
    <w:p>
      <w:pPr>
        <w:pStyle w:val="ListBullet"/>
      </w:pPr>
      <w:r>
        <w:t>4. Reserve and cash-flow testing work for life insurers, including support for the appointed actuary's opinion.</w:t>
      </w:r>
    </w:p>
    <w:p>
      <w:pPr>
        <w:pStyle w:val="ListBullet"/>
      </w:pPr>
      <w:r>
        <w:t>5. Benefit calculations for fund administrators, and answers to their questions about how a plan provision applies to a particular member.</w:t>
      </w:r>
    </w:p>
    <w:p>
      <w:pPr>
        <w:pStyle w:val="ListBullet"/>
      </w:pPr>
      <w:r>
        <w:t>6. Independent reviews of another actuary's valuation or assumptions, prepared for a board or its counsel.</w:t>
      </w:r>
    </w:p>
    <w:p>
      <w:pPr>
        <w:pStyle w:val="Heading2"/>
      </w:pPr>
      <w:r>
        <w:t>How we set out a result</w:t>
      </w:r>
    </w:p>
    <w:p>
      <w:r>
        <w:t>Every report we issue states its scope, the data we relied on, and the standards the work was performed under before it says anything about results. After that we keep three things apart. What the data show comes first. What we assumed comes next, with the reason for each assumption. What we conclude comes last, and a conclusion that depends on an assumption gets a paragraph of its own. A board's counsel should be able to read any one of those parts and know which kind of statement it is.</w:t>
      </w:r>
    </w:p>
    <w:p>
      <w:r>
        <w:t>We review data before we rely on them, and we tell the client in writing about anything we could not reconcile. A second actuary reviews every opinion before it leaves the firm. When the professional standards change, we explain the change to clients before it reaches their reports. The revised standard on pension measurement is the present case. It takes effect next year, and from then on our pension funding reports will include a low-default-risk obligation measure, with a short explanation of what that figure measures and how a board might use it.</w:t>
      </w:r>
    </w:p>
    <w:p>
      <w:pPr>
        <w:pStyle w:val="Heading2"/>
      </w:pPr>
      <w:r>
        <w:t>Clients we have served</w:t>
      </w:r>
    </w:p>
    <w:p>
      <w:r>
        <w:t>We name a client in material like this only after the engagement has finished, and we say nothing here about results, which belong to the client. On that basis, clients for whom we have completed work include Howard and Sons, Miller, Cook and Snyder, Estes Group and Martinez LLC. We give them as examples of the kinds of organizations we work for. They are not a full list of our clients.</w:t>
      </w:r>
    </w:p>
    <w:p>
      <w:pPr>
        <w:pStyle w:val="Heading2"/>
      </w:pPr>
      <w:r>
        <w:t>The people</w:t>
      </w:r>
    </w:p>
    <w:p>
      <w:r>
        <w:t>Robert Lawrence, Managing Actuary, leads the practice and signs its actuarial opinions. Our consulting actuaries scope each assignment and review it before it is issued. Associates and analysts build and maintain the valuation models, check the data, and prepare the exhibits. Our practice manager keeps engagement letters, data requests, deadlines and billing in order, and is often the first to notice when a data delivery and a report date have drifted apart. The consulting group has grown with the work, and each person who joins it learns the same habits of documentation in the first week.</w:t>
      </w:r>
    </w:p>
    <w:p>
      <w:pPr>
        <w:pStyle w:val="Heading2"/>
      </w:pPr>
      <w:r>
        <w:t>Starting an assignment</w:t>
      </w:r>
    </w:p>
    <w:p>
      <w:r>
        <w:t>A first conversation is usually about the question the client needs answered, and only later about method or fee. If we are not the right firm for that question, we say so then. When we are, the client receives a written proposal, and after it an engagement letter that fixes the scope and the standards before any data are requested. Robert Lawrence is glad to have that first conversation, and enquiries can go to him directly.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Robert Lawrence</dc:creator>
  <cp:keywords/>
  <dc:description>generated by python-docx</dc:description>
  <cp:lastModifiedBy>Robert Lawrence</cp:lastModifiedBy>
  <cp:revision>1</cp:revision>
  <dcterms:created xsi:type="dcterms:W3CDTF">2022-05-17T09:00:00Z</dcterms:created>
  <dcterms:modified xsi:type="dcterms:W3CDTF">2022-05-17T09:00:00Z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