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Amanda White joins the consulting group</w:t>
      </w:r>
    </w:p>
    <w:p>
      <w:r>
        <w:t>This is the onboarding record for Amanda White, who has joined the firm as an Actuarial Associate. Robert Lawrence prepared it for the personnel file, and it doubles as our welcome. We are pleased to have her with us, and we hope her first weeks here are orderly ones.</w:t>
      </w:r>
    </w:p>
    <w:p>
      <w:r>
        <w:t>Amanda sits in the consulting group. She reports to Jennifer Vasquez, Consulting Actuary, who sets her assignments and reviews her work. Her work is exhibits and calculation checks for the reports we prepare for pension boards and fund trustees. A board reads the exhibits more closely than any other part of a report, and the exhibits are what counsel will quote. Every figure in them has to tie to the valuation output. Every figure also has to be labeled for what it is: measured from the data, or the result of an assumption. A reader should never have to guess which.</w:t>
      </w:r>
    </w:p>
    <w:p>
      <w:r>
        <w:t>The first month is mostly reading and checking, which is how everyone here starts. Her sessions with Jennifer Vasquez will be weekly at first and less frequent as her checks need fewer corrections. Five habits will help from the beginning:</w:t>
      </w:r>
    </w:p>
    <w:p>
      <w:pPr>
        <w:pStyle w:val="ListBullet"/>
      </w:pPr>
      <w:r>
        <w:t>1. Read several of the firm's signed reports in full before preparing an exhibit, so the house format and labeling are familiar.</w:t>
      </w:r>
    </w:p>
    <w:p>
      <w:pPr>
        <w:pStyle w:val="ListBullet"/>
      </w:pPr>
      <w:r>
        <w:t>2. Use the firm's exhibit templates as they stand. A template is changed once, for every report, and never inside a single report.</w:t>
      </w:r>
    </w:p>
    <w:p>
      <w:pPr>
        <w:pStyle w:val="ListBullet"/>
      </w:pPr>
      <w:r>
        <w:t>3. Correct a figure in the workpapers, not in the report. A number is fixed at its source and carried forward from there.</w:t>
      </w:r>
    </w:p>
    <w:p>
      <w:pPr>
        <w:pStyle w:val="ListBullet"/>
      </w:pPr>
      <w:r>
        <w:t>4. Keep a log of every discrepancy found, however small, and how it was resolved. The reviewer will ask for it.</w:t>
      </w:r>
    </w:p>
    <w:p>
      <w:pPr>
        <w:pStyle w:val="ListBullet"/>
      </w:pPr>
      <w:r>
        <w:t>5. Client data, including member census files, stay on the firm's systems and travel only through the secure file transfer site.</w:t>
      </w:r>
    </w:p>
    <w:p>
      <w:r>
        <w:t>We do not expect independent judgments in the first months, and none goes into a client document until it has been reviewed. We do expect questions. Amanda should bring them to Jennifer Vasquez, or to whoever prepared the work she is checking, as soon as they arise. By the end of her first quarter we expect her to prepare a full set of exhibits for a valuation report, ready for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Amanda White</dc:title>
  <dc:subject/>
  <dc:creator>Robert Lawrence</dc:creator>
  <cp:keywords/>
  <dc:description>generated by python-docx</dc:description>
  <cp:lastModifiedBy>Robert Lawrence</cp:lastModifiedBy>
  <cp:revision>1</cp:revision>
  <dcterms:created xsi:type="dcterms:W3CDTF">2018-08-13T09:00:00Z</dcterms:created>
  <dcterms:modified xsi:type="dcterms:W3CDTF">2018-08-13T09:00:00Z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