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Karen Harris, consulting group</w:t>
      </w:r>
    </w:p>
    <w:p>
      <w:r>
        <w:t>Karen Harris has joined the consulting group as an Actuarial Associate. We are pleased to have her. Her work will be assumption analysis and the supporting tables for our experience studies, and she brings to it a good eye for a spreadsheet that does not tie out. We have kept her first weeks clear of client deadlines, so that she can learn how we build a study before she is asked to deliver part of one.</w:t>
      </w:r>
    </w:p>
    <w:p>
      <w:pPr>
        <w:pStyle w:val="Heading2"/>
      </w:pPr>
      <w:r>
        <w:t>Where she fits</w:t>
      </w:r>
    </w:p>
    <w:p>
      <w:r>
        <w:t>Karen reports to Jennifer Vasquez, Consulting Actuary. An experience study has three parts, and we keep them apart. The data show what happened to the members or policies over the study period. The assumptions say what we expected to happen. The actuary then judges how far the first should move the second. Karen will build much of the first part: the exposure and decrement tables, the comparisons of actual to expected, and the exhibits that set them out. She will also be asked to say where the data stop. Some questions go further than a study's data can support, and when they do we want her to say so in plain words. Studies that take in the past couple of years need a further decision about how much weight to give the pandemic experience. That decision is a judgment, and the report will label it as one.</w:t>
      </w:r>
    </w:p>
    <w:p>
      <w:pPr>
        <w:pStyle w:val="Heading2"/>
      </w:pPr>
      <w:r>
        <w:t>The first weeks</w:t>
      </w:r>
    </w:p>
    <w:p>
      <w:r>
        <w:t>Several of us are back in the office part of the week, so some of this can happen in person. We have set out her first weeks so that each step builds on the one before:</w:t>
      </w:r>
    </w:p>
    <w:p>
      <w:pPr>
        <w:pStyle w:val="ListBullet"/>
      </w:pPr>
      <w:r>
        <w:t>1. Collect her building access card and laptop, and confirm she can reach the shared client folders and the study workpapers.</w:t>
      </w:r>
    </w:p>
    <w:p>
      <w:pPr>
        <w:pStyle w:val="ListBullet"/>
      </w:pPr>
      <w:r>
        <w:t>2. Read the firm's standard language on data reliance and on the qualifications we place on a result.</w:t>
      </w:r>
    </w:p>
    <w:p>
      <w:pPr>
        <w:pStyle w:val="ListBullet"/>
      </w:pPr>
      <w:r>
        <w:t>3. Read the workpapers of a completed experience study, from the data request through to the final exhibits.</w:t>
      </w:r>
    </w:p>
    <w:p>
      <w:pPr>
        <w:pStyle w:val="ListBullet"/>
      </w:pPr>
      <w:r>
        <w:t>4. Rebuild one actual-to-expected table from the raw data and reconcile it to the issued exhibit, noting every difference however small.</w:t>
      </w:r>
    </w:p>
    <w:p>
      <w:pPr>
        <w:pStyle w:val="ListBullet"/>
      </w:pPr>
      <w:r>
        <w:t>5. Meet weekly with Jennifer Vasquez for her first three months to go over her work and what comes next.</w:t>
      </w:r>
    </w:p>
    <w:p>
      <w:r>
        <w:t>One expectation applies from the first day. When a result surprises her, we want to hear about it before anyone explains it. Robert Lawrence reads every experience study before it is issued, and he will want her view of the assumptions when her first study reaches him.</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Meridian Actuarial Advisors LLC</w:t>
    </w:r>
  </w:p>
  <w:p>
    <w:r>
      <w:rPr>
        <w:sz w:val="18"/>
      </w:rPr>
      <w:t>www.meridianactuarial.com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Meridian Actuarial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Karen Harris</dc:title>
  <dc:subject/>
  <dc:creator>Robert Lawrence</dc:creator>
  <cp:keywords/>
  <dc:description>generated by python-docx</dc:description>
  <cp:lastModifiedBy>Robert Lawrence</cp:lastModifiedBy>
  <cp:revision>1</cp:revision>
  <dcterms:created xsi:type="dcterms:W3CDTF">2021-11-02T09:00:00Z</dcterms:created>
  <dcterms:modified xsi:type="dcterms:W3CDTF">2021-11-02T09:00:00Z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