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 Report: Post-Close Integration Support for Nguyen, Reynolds and Martinez</w:t>
      </w:r>
    </w:p>
    <w:p>
      <w:r>
        <w:t>Prepared by Sandra Perez, Director, Fernhollow Partners, for the executive team of Nguyen, Reynolds and Martinez.</w:t>
      </w:r>
    </w:p>
    <w:p>
      <w:pPr>
        <w:pStyle w:val="Heading2"/>
      </w:pPr>
      <w:r>
        <w:t>Status Summary</w:t>
      </w:r>
    </w:p>
    <w:p>
      <w:r>
        <w:t>The engagement is on track. What changed this period: the chart of accounts mapping was adopted, and the first combined monthly close ran under the aligned calendar. What it means: your reporting now comes off one structure, and the remaining work is documentation and cleanup rather than design. The one open thread is a small set of intercompany balances still awaiting source detail from your team.</w:t>
      </w:r>
    </w:p>
    <w:p>
      <w:pPr>
        <w:pStyle w:val="Heading2"/>
      </w:pPr>
      <w:r>
        <w:t>Accomplished This Period</w:t>
      </w:r>
    </w:p>
    <w:p>
      <w:pPr>
        <w:pStyle w:val="ListBullet"/>
      </w:pPr>
      <w:r>
        <w:t>Chart of accounts mapping adopted and in use for the combined close</w:t>
      </w:r>
    </w:p>
    <w:p>
      <w:pPr>
        <w:pStyle w:val="ListBullet"/>
      </w:pPr>
      <w:r>
        <w:t>First combined monthly close completed under the aligned reporting calendar</w:t>
      </w:r>
    </w:p>
    <w:p>
      <w:pPr>
        <w:pStyle w:val="ListBullet"/>
      </w:pPr>
      <w:r>
        <w:t>Opening balance reconciliations completed, except the flagged intercompany items Ryan Strong is holding open pending client records</w:t>
      </w:r>
    </w:p>
    <w:p>
      <w:pPr>
        <w:pStyle w:val="Heading2"/>
      </w:pPr>
      <w:r>
        <w:t>Upcoming Work</w:t>
      </w:r>
    </w:p>
    <w:p>
      <w:pPr>
        <w:pStyle w:val="ListBullet"/>
      </w:pPr>
      <w:r>
        <w:t>Audit-ready working papers for the opening balances</w:t>
      </w:r>
    </w:p>
    <w:p>
      <w:pPr>
        <w:pStyle w:val="ListBullet"/>
      </w:pPr>
      <w:r>
        <w:t>Close process documentation for handoff to your controller group</w:t>
      </w:r>
    </w:p>
    <w:p>
      <w:pPr>
        <w:pStyle w:val="ListBullet"/>
      </w:pPr>
      <w:r>
        <w:t>First draft of the board readout, prepared by Briana Dennis</w:t>
      </w:r>
    </w:p>
    <w:p>
      <w:pPr>
        <w:pStyle w:val="Heading2"/>
      </w:pPr>
      <w:r>
        <w:t>Risks and Requests</w:t>
      </w:r>
    </w:p>
    <w:p>
      <w:r>
        <w:t>Year-end audit requests will compete for your staff's time this period, and the flagged intercompany items cannot close without their input. What we need from you: the source detail already requested, and a named reviewer for the close documentation, both before the next working session. Neither request is large; both are on the critical path.</w:t>
      </w:r>
    </w:p>
    <w:p>
      <w:pPr>
        <w:pStyle w:val="Heading2"/>
      </w:pPr>
      <w:r>
        <w:t>Budget</w:t>
      </w:r>
    </w:p>
    <w:p>
      <w:r>
        <w:t>Work performed to date remains within the fixed fee of $54,000 agreed in the engagement letter. No change to scope or budget is requested.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4A2E2A"/>
        <w:sz w:val="28"/>
      </w:rPr>
      <w:t>Fernhollow Partners LLC</w:t>
    </w:r>
  </w:p>
  <w:p>
    <w:r>
      <w:rPr>
        <w:sz w:val="18"/>
      </w:rPr>
      <w:t>www.fernhollowpartners.com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Fernhollow Partners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Report: Post-Close Integration Support for Nguyen, Reynolds and Martinez</dc:title>
  <dc:subject/>
  <dc:creator>Sandra Perez</dc:creator>
  <cp:keywords/>
  <dc:description>generated by python-docx</dc:description>
  <cp:lastModifiedBy>Sandra Perez</cp:lastModifiedBy>
  <cp:revision>1</cp:revision>
  <dcterms:created xsi:type="dcterms:W3CDTF">2025-01-04T09:00:00Z</dcterms:created>
  <dcterms:modified xsi:type="dcterms:W3CDTF">2025-01-04T09:00:00Z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