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Post-Close Integration Support for Nguyen, Reynolds and Martinez</w:t>
      </w:r>
    </w:p>
    <w:p>
      <w:r>
        <w:t>Working session on the integration workstreams. Minutes prepared by Ryan Strong, Analyst, and circulated to all attendees for correction.</w:t>
      </w:r>
    </w:p>
    <w:p>
      <w:pPr>
        <w:pStyle w:val="Heading2"/>
      </w:pPr>
      <w:r>
        <w:t>Attendees</w:t>
      </w:r>
    </w:p>
    <w:p>
      <w:pPr>
        <w:pStyle w:val="ListBullet"/>
      </w:pPr>
      <w:r>
        <w:t>Sandra Perez, Director, Fernhollow Partners</w:t>
      </w:r>
    </w:p>
    <w:p>
      <w:pPr>
        <w:pStyle w:val="ListBullet"/>
      </w:pPr>
      <w:r>
        <w:t>Briana Dennis, Senior Associate, Fernhollow Partners</w:t>
      </w:r>
    </w:p>
    <w:p>
      <w:pPr>
        <w:pStyle w:val="ListBullet"/>
      </w:pPr>
      <w:r>
        <w:t>Ryan Strong, Analyst, Fernhollow Partners</w:t>
      </w:r>
    </w:p>
    <w:p>
      <w:pPr>
        <w:pStyle w:val="ListBullet"/>
      </w:pPr>
      <w:r>
        <w:t>Amanda Golden, VP Finance, Nguyen, Reynolds and Martinez</w:t>
      </w:r>
    </w:p>
    <w:p>
      <w:pPr>
        <w:pStyle w:val="Heading2"/>
      </w:pPr>
      <w:r>
        <w:t>Discussion</w:t>
      </w:r>
    </w:p>
    <w:p>
      <w:r>
        <w:t>Sandra Perez opened with the state of the chart of accounts mapping, which is substantially complete. The remaining open items sit in the intercompany balances, where several entries could not yet be traced to source. I have flagged each of these rather than carrying them forward unsupported, and Sandra Perez agreed that the flags should stand until the client can confirm the underlying records.</w:t>
      </w:r>
    </w:p>
    <w:p>
      <w:r>
        <w:t>Briana Dennis walked through the draft reporting calendar and the points where it still diverges from the client's existing close routine. Amanda Golden confirmed that her team can provide the supporting detail for the flagged intercompany items and asked that requests continue to come in batches rather than piecemeal, which suits our current practice.</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Owner</w:t>
            </w:r>
          </w:p>
        </w:tc>
      </w:tr>
      <w:tr>
        <w:tc>
          <w:tcPr>
            <w:tcW w:type="dxa" w:w="4320"/>
          </w:tcPr>
          <w:p>
            <w:r>
              <w:t>Circulate the revised chart of accounts mapping for client review</w:t>
            </w:r>
          </w:p>
        </w:tc>
        <w:tc>
          <w:tcPr>
            <w:tcW w:type="dxa" w:w="4320"/>
          </w:tcPr>
          <w:p>
            <w:r>
              <w:t>Briana Dennis</w:t>
            </w:r>
          </w:p>
        </w:tc>
      </w:tr>
      <w:tr>
        <w:tc>
          <w:tcPr>
            <w:tcW w:type="dxa" w:w="4320"/>
          </w:tcPr>
          <w:p>
            <w:r>
              <w:t>Tie out the flagged intercompany balances against client records</w:t>
            </w:r>
          </w:p>
        </w:tc>
        <w:tc>
          <w:tcPr>
            <w:tcW w:type="dxa" w:w="4320"/>
          </w:tcPr>
          <w:p>
            <w:r>
              <w:t>Ryan Strong</w:t>
            </w:r>
          </w:p>
        </w:tc>
      </w:tr>
      <w:tr>
        <w:tc>
          <w:tcPr>
            <w:tcW w:type="dxa" w:w="4320"/>
          </w:tcPr>
          <w:p>
            <w:r>
              <w:t>Provide source detail for the flagged items</w:t>
            </w:r>
          </w:p>
        </w:tc>
        <w:tc>
          <w:tcPr>
            <w:tcW w:type="dxa" w:w="4320"/>
          </w:tcPr>
          <w:p>
            <w:r>
              <w:t>Amanda Golden</w:t>
            </w:r>
          </w:p>
        </w:tc>
      </w:tr>
      <w:tr>
        <w:tc>
          <w:tcPr>
            <w:tcW w:type="dxa" w:w="4320"/>
          </w:tcPr>
          <w:p>
            <w:r>
              <w:t>Set the agenda and confirm attendance for the next working session</w:t>
            </w:r>
          </w:p>
        </w:tc>
        <w:tc>
          <w:tcPr>
            <w:tcW w:type="dxa" w:w="4320"/>
          </w:tcPr>
          <w:p>
            <w:r>
              <w:t>Sandra Perez</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Post-Close Integration Support for Nguyen, Reynolds and Martinez</dc:title>
  <dc:subject/>
  <dc:creator>Ryan Strong</dc:creator>
  <cp:keywords/>
  <dc:description>generated by python-docx</dc:description>
  <cp:lastModifiedBy>Ryan Strong</cp:lastModifiedBy>
  <cp:revision>1</cp:revision>
  <dcterms:created xsi:type="dcterms:W3CDTF">2024-10-12T09:00:00Z</dcterms:created>
  <dcterms:modified xsi:type="dcterms:W3CDTF">2024-10-12T09:00:00Z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