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OrgSmith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Status Report: Valuation Analysis for Woods LLC</w:t>
      </w:r>
    </w:p>
    <w:p>
      <w:r>
        <w:t>Prepared by Sandra Perez, Director, Fernhollow Partners LLC, for the Woods LLC executive team.</w:t>
      </w:r>
    </w:p>
    <w:p>
      <w:pPr>
        <w:pStyle w:val="Heading2"/>
      </w:pPr>
      <w:r>
        <w:t>Status Summary</w:t>
      </w:r>
    </w:p>
    <w:p>
      <w:r>
        <w:t>The engagement is on schedule. What changed this period: the draft valuation model cleared second internal review, and the last open data item on the Woods LLC side was resolved and traced to source. What it means: the analytical work is substantially complete, and the remaining effort is drafting, review, and the board readout. What we need from you appears under Upcoming Work.</w:t>
      </w:r>
    </w:p>
    <w:p>
      <w:pPr>
        <w:pStyle w:val="Heading2"/>
      </w:pPr>
      <w:r>
        <w:t>Accomplishments This Period</w:t>
      </w:r>
    </w:p>
    <w:p>
      <w:pPr>
        <w:pStyle w:val="ListBullet"/>
      </w:pPr>
      <w:r>
        <w:t>Draft valuation model completed and through second internal review, with income and market approaches reconciled</w:t>
      </w:r>
    </w:p>
    <w:p>
      <w:pPr>
        <w:pStyle w:val="ListBullet"/>
      </w:pPr>
      <w:r>
        <w:t>Briana Dennis completed the draft report structure and the expanded market-approach appendix requested for the board</w:t>
      </w:r>
    </w:p>
    <w:p>
      <w:pPr>
        <w:pStyle w:val="ListBullet"/>
      </w:pPr>
      <w:r>
        <w:t>Ryan Strong finished the comparable-company tie-out; every figure in the model now traces to source</w:t>
      </w:r>
    </w:p>
    <w:p>
      <w:pPr>
        <w:pStyle w:val="ListBullet"/>
      </w:pPr>
      <w:r>
        <w:t>Final open client data item resolved with your controller's office</w:t>
      </w:r>
    </w:p>
    <w:p>
      <w:pPr>
        <w:pStyle w:val="Heading2"/>
      </w:pPr>
      <w:r>
        <w:t>Upcoming Work</w:t>
      </w:r>
    </w:p>
    <w:p>
      <w:pPr>
        <w:pStyle w:val="ListBullet"/>
      </w:pPr>
      <w:r>
        <w:t>Full draft report to you for factual review</w:t>
      </w:r>
    </w:p>
    <w:p>
      <w:pPr>
        <w:pStyle w:val="ListBullet"/>
      </w:pPr>
      <w:r>
        <w:t>Final partner review of the model and report before board materials are produced</w:t>
      </w:r>
    </w:p>
    <w:p>
      <w:pPr>
        <w:pStyle w:val="ListBullet"/>
      </w:pPr>
      <w:r>
        <w:t>Board readout deck prepared once factual-review comments are in</w:t>
      </w:r>
    </w:p>
    <w:p>
      <w:pPr>
        <w:pStyle w:val="ListBullet"/>
      </w:pPr>
      <w:r>
        <w:t>Confirmation of the board presentation window</w:t>
      </w:r>
    </w:p>
    <w:p>
      <w:pPr>
        <w:pStyle w:val="Heading2"/>
      </w:pPr>
      <w:r>
        <w:t>Budget</w:t>
      </w:r>
    </w:p>
    <w:p>
      <w:r>
        <w:t>The engagement remains within the fixed fee of $83,500 set in the engagement letter. No scope changes have been requested or made, and we do not expect any adjustment. Invoicing continues on the monthly schedule.</w:t>
      </w:r>
    </w:p>
    <w:p>
      <w:pPr>
        <w:pStyle w:val="Heading2"/>
      </w:pPr>
      <w:r>
        <w:t>Risks</w:t>
      </w:r>
    </w:p>
    <w:p>
      <w:pPr>
        <w:pStyle w:val="ListBullet"/>
      </w:pPr>
      <w:r>
        <w:t>Board calendar: if the presentation window moves, the factual-review period compresses; early confirmation protects the schedule</w:t>
      </w:r>
    </w:p>
    <w:p>
      <w:pPr>
        <w:pStyle w:val="ListBullet"/>
      </w:pPr>
      <w:r>
        <w:t>Late data changes: any restatement of the monthly figures after factual review would require rework of the tie-out</w:t>
      </w:r>
    </w:p>
    <w:p>
      <w:pPr>
        <w:pStyle w:val="ListBullet"/>
      </w:pPr>
      <w:r>
        <w:t>Availability: the review period overlaps client close activities, so we have kept the factual-review packet deliberately short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4A2E2A"/>
        <w:sz w:val="28"/>
      </w:rPr>
      <w:t>Fernhollow Partners LLC</w:t>
    </w:r>
  </w:p>
  <w:p>
    <w:r>
      <w:rPr>
        <w:sz w:val="18"/>
      </w:rPr>
      <w:t>www.fernhollowpartners.com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Fernhollow Partners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 Report: Valuation Analysis for Woods LLC</dc:title>
  <dc:subject/>
  <dc:creator>Sandra Perez</dc:creator>
  <cp:keywords/>
  <dc:description>generated by python-docx</dc:description>
  <cp:lastModifiedBy>Sandra Perez</cp:lastModifiedBy>
  <cp:revision>1</cp:revision>
  <dcterms:created xsi:type="dcterms:W3CDTF">2020-09-26T09:00:00Z</dcterms:created>
  <dcterms:modified xsi:type="dcterms:W3CDTF">2020-09-26T09:00:00Z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SmithSynthetic">
    <vt:lpwstr>true</vt:lpwstr>
  </property>
</Properties>
</file>