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Capital Assessment: Working Session Minutes</w:t>
      </w:r>
    </w:p>
    <w:p>
      <w:pPr>
        <w:pStyle w:val="Heading2"/>
      </w:pPr>
      <w:r>
        <w:t>Attendees</w:t>
      </w:r>
    </w:p>
    <w:p>
      <w:pPr>
        <w:pStyle w:val="ListBullet"/>
      </w:pPr>
      <w:r>
        <w:t>Sandra Perez, Director, Fernhollow Partners LLC</w:t>
      </w:r>
    </w:p>
    <w:p>
      <w:pPr>
        <w:pStyle w:val="ListBullet"/>
      </w:pPr>
      <w:r>
        <w:t>Briana Dennis, Senior Associate, Fernhollow Partners LLC</w:t>
      </w:r>
    </w:p>
    <w:p>
      <w:pPr>
        <w:pStyle w:val="ListBullet"/>
      </w:pPr>
      <w:r>
        <w:t>Ryan Strong, Analyst, Fernhollow Partners LLC (minutes)</w:t>
      </w:r>
    </w:p>
    <w:p>
      <w:pPr>
        <w:pStyle w:val="ListBullet"/>
      </w:pPr>
      <w:r>
        <w:t>Gerald Ross, Chief Financial Officer, Woods LLC</w:t>
      </w:r>
    </w:p>
    <w:p>
      <w:pPr>
        <w:pStyle w:val="Heading2"/>
      </w:pPr>
      <w:r>
        <w:t>Discussion</w:t>
      </w:r>
    </w:p>
    <w:p>
      <w:r>
        <w:t>The engagement team met with Woods LLC for a working session on the working capital assessment. Sandra Perez opened with the state of the analysis: the receivables and payables tie-outs are complete, and the monthly balances reconcile to the trial balance in every period reviewed to date. Briana Dennis walked through the draft normalization schedule and noted two inventory adjustments that still lack supporting documentation. Mr. Ross agreed to provide the underlying invoices.</w:t>
      </w:r>
    </w:p>
    <w:p>
      <w:r>
        <w:t>Mr. Ross raised a question on the treatment of customer deposits. Sandra Perez proposed carrying the item both ways in the draft schedule until the data supports one treatment, and the group agreed. Ryan Strong flagged one accrued liability balance he could not trace to a source schedule; the item is recorded below rather than resolved here.</w:t>
      </w:r>
    </w:p>
    <w:p>
      <w:pPr>
        <w:pStyle w:val="Heading2"/>
      </w:pPr>
      <w:r>
        <w:t>Action Items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Owner</w:t>
            </w:r>
          </w:p>
        </w:tc>
      </w:tr>
      <w:tr>
        <w:tc>
          <w:tcPr>
            <w:tcW w:type="dxa" w:w="4320"/>
          </w:tcPr>
          <w:p>
            <w:r>
              <w:t>Provide invoices supporting the two open inventory adjustments</w:t>
            </w:r>
          </w:p>
        </w:tc>
        <w:tc>
          <w:tcPr>
            <w:tcW w:type="dxa" w:w="4320"/>
          </w:tcPr>
          <w:p>
            <w:r>
              <w:t>Gerald Ross</w:t>
            </w:r>
          </w:p>
        </w:tc>
      </w:tr>
      <w:tr>
        <w:tc>
          <w:tcPr>
            <w:tcW w:type="dxa" w:w="4320"/>
          </w:tcPr>
          <w:p>
            <w:r>
              <w:t>Update the normalization schedule to carry both deposit treatments</w:t>
            </w:r>
          </w:p>
        </w:tc>
        <w:tc>
          <w:tcPr>
            <w:tcW w:type="dxa" w:w="4320"/>
          </w:tcPr>
          <w:p>
            <w:r>
              <w:t>Briana Dennis</w:t>
            </w:r>
          </w:p>
        </w:tc>
      </w:tr>
      <w:tr>
        <w:tc>
          <w:tcPr>
            <w:tcW w:type="dxa" w:w="4320"/>
          </w:tcPr>
          <w:p>
            <w:r>
              <w:t>Trace the open accrued liability balance to a source schedule and report back</w:t>
            </w:r>
          </w:p>
        </w:tc>
        <w:tc>
          <w:tcPr>
            <w:tcW w:type="dxa" w:w="4320"/>
          </w:tcPr>
          <w:p>
            <w:r>
              <w:t>Ryan Strong</w:t>
            </w:r>
          </w:p>
        </w:tc>
      </w:tr>
      <w:tr>
        <w:tc>
          <w:tcPr>
            <w:tcW w:type="dxa" w:w="4320"/>
          </w:tcPr>
          <w:p>
            <w:r>
              <w:t>Circulate revised draft schedules ahead of the next session</w:t>
            </w:r>
          </w:p>
        </w:tc>
        <w:tc>
          <w:tcPr>
            <w:tcW w:type="dxa" w:w="4320"/>
          </w:tcPr>
          <w:p>
            <w:r>
              <w:t>Sandra Perez</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Working Capital Assessment for Woods LLC</dc:title>
  <dc:subject/>
  <dc:creator>Ryan Strong</dc:creator>
  <cp:keywords/>
  <dc:description>generated by python-docx</dc:description>
  <cp:lastModifiedBy>Ryan Strong</cp:lastModifiedBy>
  <cp:revision>1</cp:revision>
  <dcterms:created xsi:type="dcterms:W3CDTF">2023-07-03T09:00:00Z</dcterms:created>
  <dcterms:modified xsi:type="dcterms:W3CDTF">2023-07-03T09:00:00Z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