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Fernhollow Partners LLC</w:t>
      </w:r>
    </w:p>
    <w:p>
      <w:pPr>
        <w:pStyle w:val="Heading2"/>
      </w:pPr>
      <w:r>
        <w:t>Firm Overview</w:t>
      </w:r>
    </w:p>
    <w:p>
      <w:r>
        <w:t>Fernhollow Partners LLC is a financial advisory boutique serving founder-owned and sponsor-backed operating companies. We are retained where ownership, capital structure, or reporting obligations are changing and the numbers must stand up to outside scrutiny. The firm is small on purpose. Every engagement is partner-led from proposal through readout, and nothing leaves the office that a partner has not read.</w:t>
      </w:r>
    </w:p>
    <w:p>
      <w:r>
        <w:t>Our work falls in three lines.</w:t>
      </w:r>
    </w:p>
    <w:p>
      <w:pPr>
        <w:pStyle w:val="ListBullet"/>
      </w:pPr>
      <w:r>
        <w:t>Valuations. Independent valuations of businesses, equity interests, and intangible assets, prepared for transactions, financial reporting, and shareholder planning.</w:t>
      </w:r>
    </w:p>
    <w:p>
      <w:pPr>
        <w:pStyle w:val="ListBullet"/>
      </w:pPr>
      <w:r>
        <w:t>Transaction readiness. Preparation of a company and its numbers for a sale or capital raise: data room assembly, quality-of-numbers review, and support for management through diligence.</w:t>
      </w:r>
    </w:p>
    <w:p>
      <w:pPr>
        <w:pStyle w:val="ListBullet"/>
      </w:pPr>
      <w:r>
        <w:t>Post-close work. Purchase price allocations, working capital and earn-out mechanics, and first-cycle reporting under new ownership.</w:t>
      </w:r>
    </w:p>
    <w:p>
      <w:r>
        <w:t>The method does not vary by client. Scope and fee are stated plainly in an engagement letter before work begins. The analysis lives in a tidy annual model that ties out to the client's books, and the readout is short because the schedule carries the argument. When a board asks where a figure came from, we point to the cell.</w:t>
      </w:r>
    </w:p>
    <w:p>
      <w:r>
        <w:t>Representative work includes our engagement for Woods LLC, a relationship that has continued across valuation and readiness workstreams. Most new work reaches us the same way: a finance lead we have served moves to a new company and brings the firm along. We consider that the only marketing worth having.</w:t>
      </w:r>
    </w:p>
    <w:p>
      <w:r>
        <w:t>The practice is led by Michael White, Managing Partner. He signs every engagement letter the firm issues and reads every model before it goes to a board. Inquiries regarding scope, fees, or references may be directed to him.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Fernhollow Partners LLC</w:t>
    </w:r>
  </w:p>
  <w:p>
    <w:r>
      <w:rPr>
        <w:sz w:val="18"/>
      </w:rPr>
      <w:t>www.fernhollowpartners.com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Fernhollow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Michael White</dc:creator>
  <cp:keywords/>
  <dc:description>generated by python-docx</dc:description>
  <cp:lastModifiedBy>Michael White</cp:lastModifiedBy>
  <cp:revision>1</cp:revision>
  <dcterms:created xsi:type="dcterms:W3CDTF">2022-04-30T09:00:00Z</dcterms:created>
  <dcterms:modified xsi:type="dcterms:W3CDTF">2022-04-30T09:00:00Z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