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VP Engineering Search</w:t>
      </w:r>
    </w:p>
    <w:p>
      <w:r>
        <w:t>Prepared for the leadership team at Coleman Ltd, covering the period since our working session in May. The search is at its midpoint and is on schedule.</w:t>
      </w:r>
    </w:p>
    <w:p>
      <w:pPr>
        <w:pStyle w:val="Heading2"/>
      </w:pPr>
      <w:r>
        <w:t>Where the search stands</w:t>
      </w:r>
    </w:p>
    <w:p>
      <w:r>
        <w:t>We have a slate. Five candidates have come through our own assessment process, four of them at or above the standard the specification sets, and the fifth strong enough that we would want you to see the comparison. The compensation band, which was the open question in May, has been settled on your side, and the two conversations that were at risk over it have both stayed live as a result. The next material step belongs to you now, not to us.</w:t>
      </w:r>
    </w:p>
    <w:p>
      <w:r>
        <w:t>It is worth recording what the market has cost us to reach that point, because it bears on how the remaining months should be run. We approached seventy-one people across the mapped companies. Thirty-one took a first conversation, nineteen were taken through to a full interview, and five are on the slate. Two prospects withdrew after being promoted where they were, which is the ordinary hazard of a search in a market this tight, and it is the reason we keep a second wave in reserve instead of closing the list early.</w:t>
      </w:r>
    </w:p>
    <w:p>
      <w:pPr>
        <w:pStyle w:val="Heading2"/>
      </w:pPr>
      <w:r>
        <w:t>Completed in this period</w:t>
      </w:r>
    </w:p>
    <w:p>
      <w:pPr>
        <w:pStyle w:val="ListBullet"/>
      </w:pPr>
      <w:r>
        <w:t>1. We closed the second wave of approaches. The full target list has now been worked, including the three companies you ruled on after the April briefing, two of which you cleared and one of which we have left alone.</w:t>
      </w:r>
    </w:p>
    <w:p>
      <w:pPr>
        <w:pStyle w:val="ListBullet"/>
      </w:pPr>
      <w:r>
        <w:t>2. James Grant completed the assessment interviews in the adjacent sectors, which produced the fifth candidate and eliminated four others.</w:t>
      </w:r>
    </w:p>
    <w:p>
      <w:pPr>
        <w:pStyle w:val="ListBullet"/>
      </w:pPr>
      <w:r>
        <w:t>3. We interviewed every candidate on the slate in person, with written appraisals against the specification rather than against each other. John Chang has those appraisals ready to circulate on the day of the presentation.</w:t>
      </w:r>
    </w:p>
    <w:p>
      <w:pPr>
        <w:pStyle w:val="ListBullet"/>
      </w:pPr>
      <w:r>
        <w:t>4. We began preliminary reference work on the two candidates who have told their own employers they are in a process. For the rest the references wait until you have interviewed them.</w:t>
      </w:r>
    </w:p>
    <w:p>
      <w:pPr>
        <w:pStyle w:val="Heading2"/>
      </w:pPr>
      <w:r>
        <w:t>The period ahead</w:t>
      </w:r>
    </w:p>
    <w:p>
      <w:pPr>
        <w:pStyle w:val="ListBullet"/>
      </w:pPr>
      <w:r>
        <w:t>1. Slate presentation. Ninety minutes with you and whoever else will interview, taking the candidates one at a time by role and record. Names are given in the room and in the written appraisals, and not before.</w:t>
      </w:r>
    </w:p>
    <w:p>
      <w:pPr>
        <w:pStyle w:val="ListBullet"/>
      </w:pPr>
      <w:r>
        <w:t>2. First-round client interviews, which we schedule and prepare candidates for. Two of the five will need to travel and their availability is genuinely tight; the earlier we hold dates, the less we lose here.</w:t>
      </w:r>
    </w:p>
    <w:p>
      <w:pPr>
        <w:pStyle w:val="ListBullet"/>
      </w:pPr>
      <w:r>
        <w:t>3. Full referencing on whoever you take to a second round, and a verification pass on the record each of them has given us.</w:t>
      </w:r>
    </w:p>
    <w:p>
      <w:pPr>
        <w:pStyle w:val="ListBullet"/>
      </w:pPr>
      <w:r>
        <w:t>4. Offer and close. We will advise on the package and manage the conversation with the candidate through acceptance and notice.</w:t>
      </w:r>
    </w:p>
    <w:p>
      <w:pPr>
        <w:pStyle w:val="Heading2"/>
      </w:pPr>
      <w:r>
        <w:t>Risks, and where we need you</w:t>
      </w:r>
    </w:p>
    <w:p>
      <w:r>
        <w:t>Three things could cost us time between here and an accepted offer, and each of them sits at least partly on your side of the table, so I set them out before asking for anything.</w:t>
      </w:r>
    </w:p>
    <w:p>
      <w:pPr>
        <w:pStyle w:val="ListBullet"/>
      </w:pPr>
      <w:r>
        <w:t>1. Interview scheduling. A senior person in a live job can hold two or three conversations in a month, not ten. If your interviewers can block dates now, before the presentation, we will protect several weeks of the schedule.</w:t>
      </w:r>
    </w:p>
    <w:p>
      <w:pPr>
        <w:pStyle w:val="ListBullet"/>
      </w:pPr>
      <w:r>
        <w:t>2. Time between rounds. The candidates who impress you will read a long gap as a loss of interest and start listening to other approaches. We would like no more than two weeks between rounds.</w:t>
      </w:r>
    </w:p>
    <w:p>
      <w:pPr>
        <w:pStyle w:val="ListBullet"/>
      </w:pPr>
      <w:r>
        <w:t>3. Counteroffers. Two of the five are people their employers will fight to keep. We prepare candidates for that conversation, but the preparation only works if the offer, when it comes, is decided and not tentative.</w:t>
      </w:r>
    </w:p>
    <w:p>
      <w:pPr>
        <w:pStyle w:val="Heading2"/>
      </w:pPr>
      <w:r>
        <w:t>Budget</w:t>
      </w:r>
    </w:p>
    <w:p>
      <w:r>
        <w:t>The engagement fee remains $105,000, fixed as set out in our agreement, and nothing in the work to date changes it. We will invoice the second of the three installments on presentation of the slate. Expenses to date are limited to candidate travel for two in-person interviews and are running well inside what we would have estimated at this point.</w:t>
      </w:r>
    </w:p>
    <w:p>
      <w:pPr>
        <w:pStyle w:val="Heading2"/>
      </w:pPr>
      <w:r>
        <w:t>Summary</w:t>
      </w:r>
    </w:p>
    <w:p>
      <w:r>
        <w:t>The search is where it should be at the midpoint: a slate ready, the compensation question closed, and the market worked far enough that we can say with confidence what is in it and what is not. Nothing in the second half of this engagement asks you to take our word for a candidate. You will meet all five, you will have the written appraisals in front of you, and where we could not verify something in a record we will say so in the room.</w:t>
      </w:r>
    </w:p>
    <w:p>
      <w:r>
        <w:t>The one action that moves everything else is fixing the presentation date, and John Chang will call your office this week to do it. If any part of this report raises a question you want to put to me directly, my line is open.</w:t>
      </w:r>
    </w:p>
    <w:p>
      <w:r>
        <w:t>Jeffrey Patterson</w:t>
        <w:br/>
        <w:t>Research Consultant</w:t>
        <w:br/>
        <w:t>Northgate Talent Partners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VP Engineering Search for Coleman Ltd</dc:title>
  <dc:subject/>
  <dc:creator>Jeffrey Patterson</dc:creator>
  <cp:keywords/>
  <dc:description>generated by python-docx</dc:description>
  <cp:lastModifiedBy>Jeffrey Patterson</cp:lastModifiedBy>
  <cp:revision>1</cp:revision>
  <dcterms:created xsi:type="dcterms:W3CDTF">2016-06-18T09:00:00Z</dcterms:created>
  <dcterms:modified xsi:type="dcterms:W3CDTF">2016-06-18T09:00:00Z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