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Head of Operations Search</w:t>
      </w:r>
    </w:p>
    <w:p>
      <w:r>
        <w:t>Prepared for the leadership of Davis and Sons by James Grant, Senior Consultant, covering the period since our working session earlier this month. The search is at its midpoint and is on schedule for a slate in October.</w:t>
      </w:r>
    </w:p>
    <w:p>
      <w:pPr>
        <w:pStyle w:val="Heading2"/>
      </w:pPr>
      <w:r>
        <w:t>Where the search stands</w:t>
      </w:r>
    </w:p>
    <w:p>
      <w:r>
        <w:t>The research is complete across the sectors we agreed at kickoff, and the second pass over two adjacent markets closed last week, which means the target list will not grow again except by exception. Of the forty-four people approached since the specification was signed off, twenty-six took a first conversation, nine are in live conversation now, and five have been through a full assessment interview with me in person.</w:t>
      </w:r>
    </w:p>
    <w:p>
      <w:r>
        <w:t>The arithmetic behind those numbers is worth recording, because it bears on how the remaining months should be run. The profile the specification asks for is genuinely scarce here, so the yield per approach is lower than we forecast at kickoff and each conversation takes longer to mature than it would on a role with a deeper bench behind it. That is a cost in patience rather than in money, and it sits on our side of the line.</w:t>
      </w:r>
    </w:p>
    <w:p>
      <w:pPr>
        <w:pStyle w:val="Heading2"/>
      </w:pPr>
      <w:r>
        <w:t>Completed since the last report</w:t>
      </w:r>
    </w:p>
    <w:p>
      <w:pPr>
        <w:pStyle w:val="ListBullet"/>
      </w:pPr>
      <w:r>
        <w:t>1. The second research pass closed. It produced three additional prospects, two of whom are now in conversation, and it settled the question of whether the adjacent markets hold a deeper bench, which they do not.</w:t>
      </w:r>
    </w:p>
    <w:p>
      <w:pPr>
        <w:pStyle w:val="ListBullet"/>
      </w:pPr>
      <w:r>
        <w:t>2. Five assessment interviews were completed in person, each with a written appraisal on file. Nobody reaches your slate without one, and the appraisals travel with the slate when it comes.</w:t>
      </w:r>
    </w:p>
    <w:p>
      <w:pPr>
        <w:pStyle w:val="ListBullet"/>
      </w:pPr>
      <w:r>
        <w:t>3. Nicole Donovan built and circulated the interview architecture for the finalist meetings: off site, two rounds, and one named point of contact on your side who holds the full list.</w:t>
      </w:r>
    </w:p>
    <w:p>
      <w:pPr>
        <w:pStyle w:val="ListBullet"/>
      </w:pPr>
      <w:r>
        <w:t>4. The compensation band was confirmed in writing on your side. That unblocked the second wave of approaches and has already changed the temperature of two conversations that had stalled on it.</w:t>
      </w:r>
    </w:p>
    <w:p>
      <w:pPr>
        <w:pStyle w:val="Heading2"/>
      </w:pPr>
      <w:r>
        <w:t>The period ahead</w:t>
      </w:r>
    </w:p>
    <w:p>
      <w:pPr>
        <w:pStyle w:val="ListBullet"/>
      </w:pPr>
      <w:r>
        <w:t>1. Reference work opens on the leading candidates next month, ahead of the slate rather than after it. That is not our usual sequence, and it is a deliberate response to how tight this market has proved.</w:t>
      </w:r>
    </w:p>
    <w:p>
      <w:pPr>
        <w:pStyle w:val="ListBullet"/>
      </w:pPr>
      <w:r>
        <w:t>2. The slate comes to you in October, with a written appraisal of each candidate on it and our reasons for setting the others aside.</w:t>
      </w:r>
    </w:p>
    <w:p>
      <w:pPr>
        <w:pStyle w:val="ListBullet"/>
      </w:pPr>
      <w:r>
        <w:t>3. Finalist meetings follow in November, arranged around your calendar and held away from your premises.</w:t>
      </w:r>
    </w:p>
    <w:p>
      <w:pPr>
        <w:pStyle w:val="ListBullet"/>
      </w:pPr>
      <w:r>
        <w:t>4. Offer and close after that. We stay with the search until your candidate has accepted and given notice to their present employer.</w:t>
      </w:r>
    </w:p>
    <w:p>
      <w:pPr>
        <w:pStyle w:val="Heading2"/>
      </w:pPr>
      <w:r>
        <w:t>The engagement against its budget</w:t>
      </w:r>
    </w:p>
    <w:p>
      <w:r>
        <w:t>The assignment is a fixed fee of $100,500, invoiced in three equal parts. The first was billed on commencement and the second falls due on delivery of the slate, so you should expect no invoice from us between now and October. Expenses are running under what we projected at kickoff, largely because most of the assessment interviews were held within a day's travel, and they appear line by line on each invoice rather than as a single figure.</w:t>
      </w:r>
    </w:p>
    <w:p>
      <w:pPr>
        <w:pStyle w:val="Heading2"/>
      </w:pPr>
      <w:r>
        <w:t>Risks, and what we are doing about them</w:t>
      </w:r>
    </w:p>
    <w:p>
      <w:pPr>
        <w:pStyle w:val="ListBullet"/>
      </w:pPr>
      <w:r>
        <w:t>1. Scarcity of the profile. Nine live conversations is a workable number and it is not a comfortable one. If two were to withdraw in the same fortnight the October date would be at risk, and you would hear that from us on the day it happened, not at the next report.</w:t>
      </w:r>
    </w:p>
    <w:p>
      <w:pPr>
        <w:pStyle w:val="ListBullet"/>
      </w:pPr>
      <w:r>
        <w:t>2. Counteroffers. Two of the five assessed candidates matter enough to their present employers that a counteroffer is likely, so we work that risk during references and during the offer, while there is still something to be done about it.</w:t>
      </w:r>
    </w:p>
    <w:p>
      <w:pPr>
        <w:pStyle w:val="ListBullet"/>
      </w:pPr>
      <w:r>
        <w:t>3. The turn of the year. The last weeks of December are effectively closed for interviewing, so any slip in November compresses into a window that will not stretch. That is the argument for holding the October date firmly rather than comfortably.</w:t>
      </w:r>
    </w:p>
    <w:p>
      <w:pPr>
        <w:pStyle w:val="ListBullet"/>
      </w:pPr>
      <w:r>
        <w:t>4. Confidentiality inside the business. The more people at Davis and Sons who know a search is running, the shorter the odds that a candidate hears about it from somewhere other than us. The single point of contact is the control on that, and it only works if it is observed.</w:t>
      </w:r>
    </w:p>
    <w:p>
      <w:pPr>
        <w:pStyle w:val="Heading2"/>
      </w:pPr>
      <w:r>
        <w:t>What we need from you</w:t>
      </w:r>
    </w:p>
    <w:p>
      <w:r>
        <w:t>The slate presentation is the next fixed point in the search and it needs a room rather than a telephone call, so we need two hours of your leadership team's time in the second half of October, booked now while the calendar is still open. Nicole Donovan will come to your assistant this week with three options, and taking one of them before the month is out is the single thing that keeps the November meetings where they are.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Head of Operations Search for Davis and Sons</dc:title>
  <dc:subject/>
  <dc:creator>James Grant</dc:creator>
  <cp:keywords/>
  <dc:description>generated by python-docx</dc:description>
  <cp:lastModifiedBy>James Grant</cp:lastModifiedBy>
  <cp:revision>1</cp:revision>
  <dcterms:created xsi:type="dcterms:W3CDTF">2018-09-23T09:00:00Z</dcterms:created>
  <dcterms:modified xsi:type="dcterms:W3CDTF">2018-09-23T09:00:00Z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