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v4 -- superseded; retained for reference</w:t>
      </w:r>
    </w:p>
    <w:p>
      <w:pPr>
        <w:pStyle w:val="Heading1"/>
      </w:pPr>
      <w:r>
        <w:t>Head of Operations Search for Davis and Sons: Closing Session</w:t>
      </w:r>
    </w:p>
    <w:p>
      <w:r>
        <w:t>Ninety minutes at the client's offices. The purpose was to settle what remains after the acceptance, and nothing in the session reopened a decision already taken. Recorded by Nicole Donovan, copies to those present and to the search file.</w:t>
      </w:r>
    </w:p>
    <w:p>
      <w:pPr>
        <w:pStyle w:val="Heading2"/>
      </w:pPr>
      <w:r>
        <w:t>Present</w:t>
      </w:r>
    </w:p>
    <w:p>
      <w:pPr>
        <w:pStyle w:val="ListBullet"/>
      </w:pPr>
      <w:r>
        <w:t>James Grant, Senior Consultant, Northgate Talent Partners</w:t>
      </w:r>
    </w:p>
    <w:p>
      <w:pPr>
        <w:pStyle w:val="ListBullet"/>
      </w:pPr>
      <w:r>
        <w:t>Nicole Donovan, Research Associate, Northgate Talent Partners</w:t>
      </w:r>
    </w:p>
    <w:p>
      <w:pPr>
        <w:pStyle w:val="ListBullet"/>
      </w:pPr>
      <w:r>
        <w:t>Jason Vasquez, General Manager, Davis and Sons</w:t>
      </w:r>
    </w:p>
    <w:p>
      <w:pPr>
        <w:pStyle w:val="Heading2"/>
      </w:pPr>
      <w:r>
        <w:t>The acceptance</w:t>
      </w:r>
    </w:p>
    <w:p>
      <w:r>
        <w:t>The offer has been accepted and the search is closed in substance, with the notice period and the start date the only things now standing between here and the appointment. James Grant reported that the signed letter came back last week and that the candidate told her employer the next morning, which is the point at which we stop treating an acceptance as provisional, and she has asked for no change to the terms since.</w:t>
      </w:r>
    </w:p>
    <w:p>
      <w:r>
        <w:t>Jason Vasquez asked how she reads the counteroffer risk. James Grant said her employer has already made one and she declined it inside a day, and that he intends to keep the weekly calls running through the whole of her notice rather than treat the question as answered.</w:t>
      </w:r>
    </w:p>
    <w:p>
      <w:pPr>
        <w:pStyle w:val="Heading2"/>
      </w:pPr>
      <w:r>
        <w:t>How she is described until she starts</w:t>
      </w:r>
    </w:p>
    <w:p>
      <w:r>
        <w:t>She is not named in this record and she stays unnamed in anything that circulates at Davis and Sons until she has worked her last day where she is, which is our practice on every search and not a courtesy particular to this one. Jason Vasquez agreed to it without argument and has told the operations group that a hire is made without saying who. He would rather announce once, with a date attached, than announce twice.</w:t>
      </w:r>
    </w:p>
    <w:p>
      <w:pPr>
        <w:pStyle w:val="Heading2"/>
      </w:pPr>
      <w:r>
        <w:t>References</w:t>
      </w:r>
    </w:p>
    <w:p>
      <w:r>
        <w:t>References were complete before the offer went out and none of them qualified the recommendation. Two of the four had managed her directly, one was a peer, one a former direct report, and the written report went to Jason Vasquez alone and was copied no further. He asked whether it should go to the two managers who will report to her, and James Grant said no, on the ground that a reference is given to the client and not to a department.</w:t>
      </w:r>
    </w:p>
    <w:p>
      <w:pPr>
        <w:pStyle w:val="Heading2"/>
      </w:pPr>
      <w:r>
        <w:t>The first month</w:t>
      </w:r>
    </w:p>
    <w:p>
      <w:r>
        <w:t>The one question left open in the session is how much of the first month is handover from the interim arrangement, and that one belongs to the client. Jason Vasquez wants the site visits done inside the first two weeks so that she meets the operation before she meets the reporting on it. James Grant suggested the expectation be written into the welcome letter rather than left to be discovered in week three.</w:t>
      </w:r>
    </w:p>
    <w:p>
      <w:pPr>
        <w:pStyle w:val="Heading2"/>
      </w:pPr>
      <w:r>
        <w:t>Closing the file</w:t>
      </w:r>
    </w:p>
    <w:p>
      <w:r>
        <w:t>What is left on our side is the final invoice, the closeout file, and the replacement undertaking in the engagement letter, which runs twelve months from the day she starts. Nicole Donovan will assemble the file: the approved position specification, the slate with the written appraisals, the reference report, and the correspondence.</w:t>
      </w:r>
    </w:p>
    <w:p>
      <w:r>
        <w:t>James Grant asked that the client's own record of the search be squared with ours before either is put away, since two versions of a candidate list is the ordinary way a name gets out. Jason Vasquez will send his copies of the slate material back to us to be destroyed with ours.</w:t>
      </w:r>
    </w:p>
    <w:p>
      <w:pPr>
        <w:pStyle w:val="Heading2"/>
      </w:pPr>
      <w:r>
        <w:t>Actions agreed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Jason Vasquez</w:t>
            </w:r>
          </w:p>
        </w:tc>
        <w:tc>
          <w:tcPr>
            <w:tcW w:type="dxa" w:w="2880"/>
          </w:tcPr>
          <w:p>
            <w:r>
              <w:t>Confirm the start date once notice has been served, and hold the internal announcement until it is fixed</w:t>
            </w:r>
          </w:p>
        </w:tc>
        <w:tc>
          <w:tcPr>
            <w:tcW w:type="dxa" w:w="2880"/>
          </w:tcPr>
          <w:p>
            <w:r>
              <w:t>On receipt</w:t>
            </w:r>
          </w:p>
        </w:tc>
      </w:tr>
      <w:tr>
        <w:tc>
          <w:tcPr>
            <w:tcW w:type="dxa" w:w="2880"/>
          </w:tcPr>
          <w:p>
            <w:r>
              <w:t>James Grant</w:t>
            </w:r>
          </w:p>
        </w:tc>
        <w:tc>
          <w:tcPr>
            <w:tcW w:type="dxa" w:w="2880"/>
          </w:tcPr>
          <w:p>
            <w:r>
              <w:t>Weekly call with the candidate through the notice period, and word to the client the same day if anything moves</w:t>
            </w:r>
          </w:p>
        </w:tc>
        <w:tc>
          <w:tcPr>
            <w:tcW w:type="dxa" w:w="2880"/>
          </w:tcPr>
          <w:p>
            <w:r>
              <w:t>Weekly, to start</w:t>
            </w:r>
          </w:p>
        </w:tc>
      </w:tr>
      <w:tr>
        <w:tc>
          <w:tcPr>
            <w:tcW w:type="dxa" w:w="2880"/>
          </w:tcPr>
          <w:p>
            <w:r>
              <w:t>Jason Vasquez</w:t>
            </w:r>
          </w:p>
        </w:tc>
        <w:tc>
          <w:tcPr>
            <w:tcW w:type="dxa" w:w="2880"/>
          </w:tcPr>
          <w:p>
            <w:r>
              <w:t>Settle the handover question with the interim and write the first-month expectations into the welcome letter</w:t>
            </w:r>
          </w:p>
        </w:tc>
        <w:tc>
          <w:tcPr>
            <w:tcW w:type="dxa" w:w="2880"/>
          </w:tcPr>
          <w:p>
            <w:r>
              <w:t>Before she starts</w:t>
            </w:r>
          </w:p>
        </w:tc>
      </w:tr>
      <w:tr>
        <w:tc>
          <w:tcPr>
            <w:tcW w:type="dxa" w:w="2880"/>
          </w:tcPr>
          <w:p>
            <w:r>
              <w:t>Nicole Donovan</w:t>
            </w:r>
          </w:p>
        </w:tc>
        <w:tc>
          <w:tcPr>
            <w:tcW w:type="dxa" w:w="2880"/>
          </w:tcPr>
          <w:p>
            <w:r>
              <w:t>Assemble the closeout file and return or destroy the slate material held on both sides</w:t>
            </w:r>
          </w:p>
        </w:tc>
        <w:tc>
          <w:tcPr>
            <w:tcW w:type="dxa" w:w="2880"/>
          </w:tcPr>
          <w:p>
            <w:r>
              <w:t>Two weeks</w:t>
            </w:r>
          </w:p>
        </w:tc>
      </w:tr>
      <w:tr>
        <w:tc>
          <w:tcPr>
            <w:tcW w:type="dxa" w:w="2880"/>
          </w:tcPr>
          <w:p>
            <w:r>
              <w:t>James Grant</w:t>
            </w:r>
          </w:p>
        </w:tc>
        <w:tc>
          <w:tcPr>
            <w:tcW w:type="dxa" w:w="2880"/>
          </w:tcPr>
          <w:p>
            <w:r>
              <w:t>Raise the final invoice against the engagement letter and send it with the closeout file</w:t>
            </w:r>
          </w:p>
        </w:tc>
        <w:tc>
          <w:tcPr>
            <w:tcW w:type="dxa" w:w="2880"/>
          </w:tcPr>
          <w:p>
            <w:r>
              <w:t>Two weeks</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Head of Operations Search for Davis and Sons (v4)</dc:title>
  <dc:subject/>
  <dc:creator>Nicole Donovan</dc:creator>
  <cp:keywords/>
  <dc:description>generated by python-docx</dc:description>
  <cp:lastModifiedBy>Nicole Donovan</cp:lastModifiedBy>
  <cp:revision>1</cp:revision>
  <dcterms:created xsi:type="dcterms:W3CDTF">2018-12-01T09:00:00Z</dcterms:created>
  <dcterms:modified xsi:type="dcterms:W3CDTF">2018-12-01T09:00:00Z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