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Sandra Fuentes; Heather Meyer</w:t>
        <w:br/>
        <w:t>From: David Weiss, Research Associate</w:t>
        <w:br/>
        <w:t>Re: Compensation benchmarking for Hicks-Castillo, kickoff and the first six weeks</w:t>
      </w:r>
    </w:p>
    <w:p>
      <w:r>
        <w:t>The comparison group is the whole engagement, so the first six weeks go to building it and getting it approved in writing, and everything after that is collection and arithmetic measured against a group we can defend. The engagement began March 25, 2023 and runs about eight months. Our client contact is David Mcgee, the general manager, who signed the letter and who approves the group.</w:t>
      </w:r>
    </w:p>
    <w:p>
      <w:r>
        <w:t>What he has asked for is a defensible answer, position by position, on whether compensation at Hicks-Castillo holds up against the market the company hires from, together with the cost of closing any gap he decides to close. He has not asked for a view on any individual, and the letter says so in terms. We report on positions.</w:t>
      </w:r>
    </w:p>
    <w:p>
      <w:pPr>
        <w:pStyle w:val="Heading2"/>
      </w:pPr>
      <w:r>
        <w:t>The work, in the order it happens</w:t>
      </w:r>
    </w:p>
    <w:p>
      <w:pPr>
        <w:pStyle w:val="ListBullet"/>
      </w:pPr>
      <w:r>
        <w:t>1. Position schedule. Sandra Fuentes takes the half day with the client and comes back with the positions in scope, each with a job description and the current package structure; nothing downstream starts until that list is closed, because every later step is keyed to it.</w:t>
      </w:r>
    </w:p>
    <w:p>
      <w:pPr>
        <w:pStyle w:val="ListBullet"/>
      </w:pPr>
      <w:r>
        <w:t>2. Comparison group. I build it against the three tests in the engagement letter, which are scale, competition for people, and ownership, with a written reason recorded for every company on the list, and it goes to David Mcgee for approval in writing.</w:t>
      </w:r>
    </w:p>
    <w:p>
      <w:pPr>
        <w:pStyle w:val="ListBullet"/>
      </w:pPr>
      <w:r>
        <w:t>3. Purchased data. Heather Meyer specifies the survey purchases and handles the extraction once the group is approved; I keep the crosswalk from our position schedule to the survey job codes, which is the part of this work that most often goes wrong quietly.</w:t>
      </w:r>
    </w:p>
    <w:p>
      <w:pPr>
        <w:pStyle w:val="ListBullet"/>
      </w:pPr>
      <w:r>
        <w:t>4. Our own files. I pull the compensation detail from the retained searches this firm has run in the same revenue band, in aggregate only, with no company and no person identifiable in anything that comes out of it.</w:t>
      </w:r>
    </w:p>
    <w:p>
      <w:pPr>
        <w:pStyle w:val="ListBullet"/>
      </w:pPr>
      <w:r>
        <w:t>5. Analysis and report. Base, annual incentive, long-term or ownership element, and the total, each read against the group at the quartiles. Sandra Fuentes writes the findings; I supply the tables and the sourcing notes behind them.</w:t>
      </w:r>
    </w:p>
    <w:p>
      <w:pPr>
        <w:pStyle w:val="Heading2"/>
      </w:pPr>
      <w:r>
        <w:t>Where the coverage will be thin</w:t>
      </w:r>
    </w:p>
    <w:p>
      <w:r>
        <w:t>At least two positions on the draft schedule will not be covered by published survey data at the scale we need, and I expect a third once the descriptions are firm. Those go to direct conversations, which are slow and produce a range instead of a quartile.</w:t>
      </w:r>
    </w:p>
    <w:p>
      <w:r>
        <w:t>Heather Meyer, when a position looks thin in extraction, mark it in the crosswalk the day you see it. The report has to be honest about coverage, and coverage is easiest to describe while the collection is still in front of us.</w:t>
      </w:r>
    </w:p>
    <w:p>
      <w:pPr>
        <w:pStyle w:val="Heading2"/>
      </w:pPr>
      <w:r>
        <w:t>What does not go in writing</w:t>
      </w:r>
    </w:p>
    <w:p>
      <w:r>
        <w:t>No employee of the client is named in any document we produce, and that includes internal working papers, because working papers travel. Nothing drawn from our own search files may be traceable to a company or a person; if a cut of the aggregate holds few enough people that a reader could work out who they are, it is not aggregate and it does not go in.</w:t>
      </w:r>
    </w:p>
    <w:p>
      <w:pPr>
        <w:pStyle w:val="Heading2"/>
      </w:pPr>
      <w:r>
        <w:t>Before the end of April</w:t>
      </w:r>
    </w:p>
    <w:p>
      <w:pPr>
        <w:pStyle w:val="ListBullet"/>
      </w:pPr>
      <w:r>
        <w:t>1. Sandra Fuentes to hold the half day with the client and return the closed position schedule.</w:t>
      </w:r>
    </w:p>
    <w:p>
      <w:pPr>
        <w:pStyle w:val="ListBullet"/>
      </w:pPr>
      <w:r>
        <w:t>2. Me to circulate the draft comparison group with the rationale column complete, for internal review before it goes to David Mcgee.</w:t>
      </w:r>
    </w:p>
    <w:p>
      <w:pPr>
        <w:pStyle w:val="ListBullet"/>
      </w:pPr>
      <w:r>
        <w:t>3. Heather Meyer to have both survey purchases specified and priced, ready to raise on the day the group is approved.</w:t>
      </w:r>
    </w:p>
    <w:p>
      <w:r>
        <w:t>I will open a written thread with the client when the group is ready for approval, and the running record of the engagement will live in it. Anything ambiguous in the position schedule should reach me during the crosswalk, while it still costs an hour to settle.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Compensation Benchmarking for Hicks-Castillo</dc:title>
  <dc:subject/>
  <dc:creator>David Weiss</dc:creator>
  <cp:keywords/>
  <dc:description>generated by python-docx</dc:description>
  <cp:lastModifiedBy>David Weiss</cp:lastModifiedBy>
  <cp:revision>1</cp:revision>
  <dcterms:created xsi:type="dcterms:W3CDTF">2023-03-28T09:00:00Z</dcterms:created>
  <dcterms:modified xsi:type="dcterms:W3CDTF">2023-03-28T09:00:00Z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