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Compensation benchmarking for Hicks-Castillo</w:t>
        <w:br/>
        <w:t>Status report for the period to the end of July</w:t>
        <w:br/>
        <w:t>Prepared by David Weiss, Research Associate, Northgate Talent Partners</w:t>
      </w:r>
    </w:p>
    <w:p>
      <w:r>
        <w:t>The engagement is on schedule and inside its fee. Collection is finished, the analysis is drafted for nine of the eleven positions, and both open items sit on your side. Nothing in this period has changed the approved comparison group or the position schedule.</w:t>
      </w:r>
    </w:p>
    <w:p>
      <w:pPr>
        <w:pStyle w:val="Heading2"/>
      </w:pPr>
      <w:r>
        <w:t>Progress by line of work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Line of work</w:t>
            </w:r>
          </w:p>
        </w:tc>
        <w:tc>
          <w:tcPr>
            <w:tcW w:type="dxa" w:w="2880"/>
          </w:tcPr>
          <w:p>
            <w:r>
              <w:rPr>
                <w:b/>
              </w:rPr>
              <w:t>Status</w:t>
            </w:r>
          </w:p>
        </w:tc>
        <w:tc>
          <w:tcPr>
            <w:tcW w:type="dxa" w:w="2880"/>
          </w:tcPr>
          <w:p>
            <w:r>
              <w:rPr>
                <w:b/>
              </w:rPr>
              <w:t>Note</w:t>
            </w:r>
          </w:p>
        </w:tc>
      </w:tr>
      <w:tr>
        <w:tc>
          <w:tcPr>
            <w:tcW w:type="dxa" w:w="2880"/>
          </w:tcPr>
          <w:p>
            <w:r>
              <w:t>Position schedule</w:t>
            </w:r>
          </w:p>
        </w:tc>
        <w:tc>
          <w:tcPr>
            <w:tcW w:type="dxa" w:w="2880"/>
          </w:tcPr>
          <w:p>
            <w:r>
              <w:t>Closed</w:t>
            </w:r>
          </w:p>
        </w:tc>
        <w:tc>
          <w:tcPr>
            <w:tcW w:type="dxa" w:w="2880"/>
          </w:tcPr>
          <w:p>
            <w:r>
              <w:t>Eleven positions, signed off in April and unchanged since.</w:t>
            </w:r>
          </w:p>
        </w:tc>
      </w:tr>
      <w:tr>
        <w:tc>
          <w:tcPr>
            <w:tcW w:type="dxa" w:w="2880"/>
          </w:tcPr>
          <w:p>
            <w:r>
              <w:t>Comparison group</w:t>
            </w:r>
          </w:p>
        </w:tc>
        <w:tc>
          <w:tcPr>
            <w:tcW w:type="dxa" w:w="2880"/>
          </w:tcPr>
          <w:p>
            <w:r>
              <w:t>Closed</w:t>
            </w:r>
          </w:p>
        </w:tc>
        <w:tc>
          <w:tcPr>
            <w:tcW w:type="dxa" w:w="2880"/>
          </w:tcPr>
          <w:p>
            <w:r>
              <w:t>Twenty-two companies, approved in writing; none added or removed.</w:t>
            </w:r>
          </w:p>
        </w:tc>
      </w:tr>
      <w:tr>
        <w:tc>
          <w:tcPr>
            <w:tcW w:type="dxa" w:w="2880"/>
          </w:tcPr>
          <w:p>
            <w:r>
              <w:t>Purchased survey data</w:t>
            </w:r>
          </w:p>
        </w:tc>
        <w:tc>
          <w:tcPr>
            <w:tcW w:type="dxa" w:w="2880"/>
          </w:tcPr>
          <w:p>
            <w:r>
              <w:t>Complete</w:t>
            </w:r>
          </w:p>
        </w:tc>
        <w:tc>
          <w:tcPr>
            <w:tcW w:type="dxa" w:w="2880"/>
          </w:tcPr>
          <w:p>
            <w:r>
              <w:t>Two surveys extracted and crosswalked to the position schedule.</w:t>
            </w:r>
          </w:p>
        </w:tc>
      </w:tr>
      <w:tr>
        <w:tc>
          <w:tcPr>
            <w:tcW w:type="dxa" w:w="2880"/>
          </w:tcPr>
          <w:p>
            <w:r>
              <w:t>Aggregate data from our own files</w:t>
            </w:r>
          </w:p>
        </w:tc>
        <w:tc>
          <w:tcPr>
            <w:tcW w:type="dxa" w:w="2880"/>
          </w:tcPr>
          <w:p>
            <w:r>
              <w:t>Complete</w:t>
            </w:r>
          </w:p>
        </w:tc>
        <w:tc>
          <w:tcPr>
            <w:tcW w:type="dxa" w:w="2880"/>
          </w:tcPr>
          <w:p>
            <w:r>
              <w:t>Compensation detail from retained searches in the same revenue band, with nothing attributable to a company or a person.</w:t>
            </w:r>
          </w:p>
        </w:tc>
      </w:tr>
      <w:tr>
        <w:tc>
          <w:tcPr>
            <w:tcW w:type="dxa" w:w="2880"/>
          </w:tcPr>
          <w:p>
            <w:r>
              <w:t>Analysis</w:t>
            </w:r>
          </w:p>
        </w:tc>
        <w:tc>
          <w:tcPr>
            <w:tcW w:type="dxa" w:w="2880"/>
          </w:tcPr>
          <w:p>
            <w:r>
              <w:t>Nine of eleven drafted</w:t>
            </w:r>
          </w:p>
        </w:tc>
        <w:tc>
          <w:tcPr>
            <w:tcW w:type="dxa" w:w="2880"/>
          </w:tcPr>
          <w:p>
            <w:r>
              <w:t>Two positions held for the actual paid rebuild agreed at the July session.</w:t>
            </w:r>
          </w:p>
        </w:tc>
      </w:tr>
      <w:tr>
        <w:tc>
          <w:tcPr>
            <w:tcW w:type="dxa" w:w="2880"/>
          </w:tcPr>
          <w:p>
            <w:r>
              <w:t>Direct conversations</w:t>
            </w:r>
          </w:p>
        </w:tc>
        <w:tc>
          <w:tcPr>
            <w:tcW w:type="dxa" w:w="2880"/>
          </w:tcPr>
          <w:p>
            <w:r>
              <w:t>Underway</w:t>
            </w:r>
          </w:p>
        </w:tc>
        <w:tc>
          <w:tcPr>
            <w:tcW w:type="dxa" w:w="2880"/>
          </w:tcPr>
          <w:p>
            <w:r>
              <w:t>Four booked of the six to eight needed for the position with thin comparator data.</w:t>
            </w:r>
          </w:p>
        </w:tc>
      </w:tr>
      <w:tr>
        <w:tc>
          <w:tcPr>
            <w:tcW w:type="dxa" w:w="2880"/>
          </w:tcPr>
          <w:p>
            <w:r>
              <w:t>Costing of the remedy</w:t>
            </w:r>
          </w:p>
        </w:tc>
        <w:tc>
          <w:tcPr>
            <w:tcW w:type="dxa" w:w="2880"/>
          </w:tcPr>
          <w:p>
            <w:r>
              <w:t>Method drafted</w:t>
            </w:r>
          </w:p>
        </w:tc>
        <w:tc>
          <w:tcPr>
            <w:tcW w:type="dxa" w:w="2880"/>
          </w:tcPr>
          <w:p>
            <w:r>
              <w:t>With you for agreement; no figures are produced until the method is agreed.</w:t>
            </w:r>
          </w:p>
        </w:tc>
      </w:tr>
      <w:tr>
        <w:tc>
          <w:tcPr>
            <w:tcW w:type="dxa" w:w="2880"/>
          </w:tcPr>
          <w:p>
            <w:r>
              <w:t>Draft report</w:t>
            </w:r>
          </w:p>
        </w:tc>
        <w:tc>
          <w:tcPr>
            <w:tcW w:type="dxa" w:w="2880"/>
          </w:tcPr>
          <w:p>
            <w:r>
              <w:t>Not started</w:t>
            </w:r>
          </w:p>
        </w:tc>
        <w:tc>
          <w:tcPr>
            <w:tcW w:type="dxa" w:w="2880"/>
          </w:tcPr>
          <w:p>
            <w:r>
              <w:t>Begins when the analysis closes.</w:t>
            </w:r>
          </w:p>
        </w:tc>
      </w:tr>
    </w:tbl>
    <w:p>
      <w:pPr>
        <w:pStyle w:val="Heading2"/>
      </w:pPr>
      <w:r>
        <w:t>What the data says so far</w:t>
      </w:r>
    </w:p>
    <w:p>
      <w:r>
        <w:t>Eight of the eleven positions sit inside the range we would expect against the comparison group. Two sit below the lower quartile, both of them in operations, and both are roles the company has had difficulty filling.</w:t>
      </w:r>
    </w:p>
    <w:p>
      <w:r>
        <w:t>The more useful finding is about shape. The comparison group pays a smaller base and a larger variable element for the same jobs, so a position at Hicks-Castillo can read as adequate on total cash and still be uncompetitive to somebody weighing what they are guaranteed. The report will present base, incentive and total separately for every position, and the commentary will lead on that split.</w:t>
      </w:r>
    </w:p>
    <w:p>
      <w:r>
        <w:t>One position cannot be called on purchased data at all. Sandra Fuentes is running the direct conversations against it. That position will be reported as a range with its method and its limits stated, or reported as uncalled if the conversations do not produce enough.</w:t>
      </w:r>
    </w:p>
    <w:p>
      <w:r>
        <w:t>The long-term element is the weakest part of the picture and will stay weak. Roughly half the comparison group carries some ownership or deferred component, the terms of it are disclosed unevenly in the survey data, and the values are not comparable across companies without assumptions we would rather not make on your behalf. We will report what is there, describe what it excludes, and keep it out of the total cash comparison so that the cash reading stands on its own.</w:t>
      </w:r>
    </w:p>
    <w:p>
      <w:pPr>
        <w:pStyle w:val="Heading2"/>
      </w:pPr>
      <w:r>
        <w:t>August and September</w:t>
      </w:r>
    </w:p>
    <w:p>
      <w:pPr>
        <w:pStyle w:val="ListBullet"/>
      </w:pPr>
      <w:r>
        <w:t>1. Close the two held positions, once the actual paid figures arrive.</w:t>
      </w:r>
    </w:p>
    <w:p>
      <w:pPr>
        <w:pStyle w:val="ListBullet"/>
      </w:pPr>
      <w:r>
        <w:t>2. Complete the direct conversations and write up the thin position.</w:t>
      </w:r>
    </w:p>
    <w:p>
      <w:pPr>
        <w:pStyle w:val="ListBullet"/>
      </w:pPr>
      <w:r>
        <w:t>3. Produce the costed remedy, after the method has been agreed.</w:t>
      </w:r>
    </w:p>
    <w:p>
      <w:pPr>
        <w:pStyle w:val="ListBullet"/>
      </w:pPr>
      <w:r>
        <w:t>4. Draft the full report, with Sandra Fuentes reviewing it before anything comes to you.</w:t>
      </w:r>
    </w:p>
    <w:p>
      <w:pPr>
        <w:pStyle w:val="ListBullet"/>
      </w:pPr>
      <w:r>
        <w:t>5. Hold the draft findings review, which on the present run of work falls in early October.</w:t>
      </w:r>
    </w:p>
    <w:p>
      <w:pPr>
        <w:pStyle w:val="Heading2"/>
      </w:pPr>
      <w:r>
        <w:t>Three risks</w:t>
      </w:r>
    </w:p>
    <w:p>
      <w:pPr>
        <w:pStyle w:val="ListBullet"/>
      </w:pPr>
      <w:r>
        <w:t>1. Job code matching. Two positions map imperfectly to the survey codes, and the read on them is only as good as the match we made. We will publish the full crosswalk as an appendix so that the match can be inspected.</w:t>
      </w:r>
    </w:p>
    <w:p>
      <w:pPr>
        <w:pStyle w:val="ListBullet"/>
      </w:pPr>
      <w:r>
        <w:t>2. The direct conversations. They depend on people who owe us nothing and who are giving up their own pay information. If we cannot reach six usable conversations the position is reported as uncalled, and we will tell you as soon as we know.</w:t>
      </w:r>
    </w:p>
    <w:p>
      <w:pPr>
        <w:pStyle w:val="ListBullet"/>
      </w:pPr>
      <w:r>
        <w:t>3. The board date. It is not yet confirmed, and every date after the draft findings review moves with it. Drafting can be compressed; the internal review cannot, so an early board date costs us the review and not the analysis.</w:t>
      </w:r>
    </w:p>
    <w:p>
      <w:pPr>
        <w:pStyle w:val="Heading2"/>
      </w:pPr>
      <w:r>
        <w:t>Fee and effort</w:t>
      </w:r>
    </w:p>
    <w:p>
      <w:r>
        <w:t>The engagement is a fixed fee of $75,000, invoiced in three parts. Two invoices have been raised, one on commencement and one at this interim point, and the third falls due on delivery and presentation of the final report.</w:t>
      </w:r>
    </w:p>
    <w:p>
      <w:r>
        <w:t>Internal hours to date are a little under half of what we planned for the engagement as a whole. The survey extraction ran cleaner than we budgeted for, and the direct conversations will absorb the difference, since they cost more time per usable data point than any other part of the work. We do not expect to come back to you on the fee. Expenses are within the level agreed and are itemized on each invoice.</w:t>
      </w:r>
    </w:p>
    <w:p>
      <w:pPr>
        <w:pStyle w:val="Heading2"/>
      </w:pPr>
      <w:r>
        <w:t>What we need from you</w:t>
      </w:r>
    </w:p>
    <w:p>
      <w:pPr>
        <w:pStyle w:val="ListBullet"/>
      </w:pPr>
      <w:r>
        <w:t>1. Agreement on the costing method, which is with you now.</w:t>
      </w:r>
    </w:p>
    <w:p>
      <w:pPr>
        <w:pStyle w:val="ListBullet"/>
      </w:pPr>
      <w:r>
        <w:t>2. The actual paid incentive figures for the two held positions.</w:t>
      </w:r>
    </w:p>
    <w:p>
      <w:pPr>
        <w:pStyle w:val="ListBullet"/>
      </w:pPr>
      <w:r>
        <w:t>3. The board date, as soon as it is fixed.</w:t>
      </w:r>
    </w:p>
    <w:p>
      <w:r>
        <w:t>The next report covers August and September and will carry the draft findings with it. If the board date lands earlier than the early October review assumes, tell us once it is fixed and we will work the schedule back from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Compensation Benchmarking for Hicks-Castillo</dc:title>
  <dc:subject/>
  <dc:creator>David Weiss</dc:creator>
  <cp:keywords/>
  <dc:description>generated by python-docx</dc:description>
  <cp:lastModifiedBy>David Weiss</cp:lastModifiedBy>
  <cp:revision>1</cp:revision>
  <dcterms:created xsi:type="dcterms:W3CDTF">2023-07-29T09:00:00Z</dcterms:created>
  <dcterms:modified xsi:type="dcterms:W3CDTF">2023-07-29T09:00:00Z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