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Compensation Benchmarking for Hicks-Castillo: Closing Status Report</w:t>
      </w:r>
    </w:p>
    <w:p>
      <w:r>
        <w:t>Field work closed in this period. All five job families in scope have a matched comparator set, every band has been through a second review, and the report is written and with Sandra Fuentes for her read before it reaches the committee. The closing session stands where it was put in the diary.</w:t>
      </w:r>
    </w:p>
    <w:p>
      <w:r>
        <w:t>Two roles inside the commercial family are carried at low confidence and are marked as such on the face of the report. Nothing else in the file carries a qualification.</w:t>
      </w:r>
    </w:p>
    <w:p>
      <w:pPr>
        <w:pStyle w:val="Heading2"/>
      </w:pPr>
      <w:r>
        <w:t>State of the file</w:t>
      </w:r>
    </w:p>
    <w:p>
      <w:r>
        <w:t>The comparator counts below are matches that survived the second review. The raw pulls were larger in every family and are kept in the working papers.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Job family</w:t>
            </w:r>
          </w:p>
        </w:tc>
        <w:tc>
          <w:tcPr>
            <w:tcW w:type="dxa" w:w="2160"/>
          </w:tcPr>
          <w:p>
            <w:r>
              <w:rPr>
                <w:b/>
              </w:rPr>
              <w:t>Roles benchmarked</w:t>
            </w:r>
          </w:p>
        </w:tc>
        <w:tc>
          <w:tcPr>
            <w:tcW w:type="dxa" w:w="2160"/>
          </w:tcPr>
          <w:p>
            <w:r>
              <w:rPr>
                <w:b/>
              </w:rPr>
              <w:t>Matched comparators</w:t>
            </w:r>
          </w:p>
        </w:tc>
        <w:tc>
          <w:tcPr>
            <w:tcW w:type="dxa" w:w="2160"/>
          </w:tcPr>
          <w:p>
            <w:r>
              <w:rPr>
                <w:b/>
              </w:rPr>
              <w:t>State</w:t>
            </w:r>
          </w:p>
        </w:tc>
      </w:tr>
      <w:tr>
        <w:tc>
          <w:tcPr>
            <w:tcW w:type="dxa" w:w="2160"/>
          </w:tcPr>
          <w:p>
            <w:r>
              <w:t>Executive and general management</w:t>
            </w:r>
          </w:p>
        </w:tc>
        <w:tc>
          <w:tcPr>
            <w:tcW w:type="dxa" w:w="2160"/>
          </w:tcPr>
          <w:p>
            <w:r>
              <w:t>6</w:t>
            </w:r>
          </w:p>
        </w:tc>
        <w:tc>
          <w:tcPr>
            <w:tcW w:type="dxa" w:w="2160"/>
          </w:tcPr>
          <w:p>
            <w:r>
              <w:t>38</w:t>
            </w:r>
          </w:p>
        </w:tc>
        <w:tc>
          <w:tcPr>
            <w:tcW w:type="dxa" w:w="2160"/>
          </w:tcPr>
          <w:p>
            <w:r>
              <w:t>Closed</w:t>
            </w:r>
          </w:p>
        </w:tc>
      </w:tr>
      <w:tr>
        <w:tc>
          <w:tcPr>
            <w:tcW w:type="dxa" w:w="2160"/>
          </w:tcPr>
          <w:p>
            <w:r>
              <w:t>Finance and accounting</w:t>
            </w:r>
          </w:p>
        </w:tc>
        <w:tc>
          <w:tcPr>
            <w:tcW w:type="dxa" w:w="2160"/>
          </w:tcPr>
          <w:p>
            <w:r>
              <w:t>9</w:t>
            </w:r>
          </w:p>
        </w:tc>
        <w:tc>
          <w:tcPr>
            <w:tcW w:type="dxa" w:w="2160"/>
          </w:tcPr>
          <w:p>
            <w:r>
              <w:t>52</w:t>
            </w:r>
          </w:p>
        </w:tc>
        <w:tc>
          <w:tcPr>
            <w:tcW w:type="dxa" w:w="2160"/>
          </w:tcPr>
          <w:p>
            <w:r>
              <w:t>Closed</w:t>
            </w:r>
          </w:p>
        </w:tc>
      </w:tr>
      <w:tr>
        <w:tc>
          <w:tcPr>
            <w:tcW w:type="dxa" w:w="2160"/>
          </w:tcPr>
          <w:p>
            <w:r>
              <w:t>Operations and plant</w:t>
            </w:r>
          </w:p>
        </w:tc>
        <w:tc>
          <w:tcPr>
            <w:tcW w:type="dxa" w:w="2160"/>
          </w:tcPr>
          <w:p>
            <w:r>
              <w:t>14</w:t>
            </w:r>
          </w:p>
        </w:tc>
        <w:tc>
          <w:tcPr>
            <w:tcW w:type="dxa" w:w="2160"/>
          </w:tcPr>
          <w:p>
            <w:r>
              <w:t>61</w:t>
            </w:r>
          </w:p>
        </w:tc>
        <w:tc>
          <w:tcPr>
            <w:tcW w:type="dxa" w:w="2160"/>
          </w:tcPr>
          <w:p>
            <w:r>
              <w:t>Closed</w:t>
            </w:r>
          </w:p>
        </w:tc>
      </w:tr>
      <w:tr>
        <w:tc>
          <w:tcPr>
            <w:tcW w:type="dxa" w:w="2160"/>
          </w:tcPr>
          <w:p>
            <w:r>
              <w:t>Commercial and sales</w:t>
            </w:r>
          </w:p>
        </w:tc>
        <w:tc>
          <w:tcPr>
            <w:tcW w:type="dxa" w:w="2160"/>
          </w:tcPr>
          <w:p>
            <w:r>
              <w:t>11</w:t>
            </w:r>
          </w:p>
        </w:tc>
        <w:tc>
          <w:tcPr>
            <w:tcW w:type="dxa" w:w="2160"/>
          </w:tcPr>
          <w:p>
            <w:r>
              <w:t>44</w:t>
            </w:r>
          </w:p>
        </w:tc>
        <w:tc>
          <w:tcPr>
            <w:tcW w:type="dxa" w:w="2160"/>
          </w:tcPr>
          <w:p>
            <w:r>
              <w:t>Closed, two roles at low confidence</w:t>
            </w:r>
          </w:p>
        </w:tc>
      </w:tr>
      <w:tr>
        <w:tc>
          <w:tcPr>
            <w:tcW w:type="dxa" w:w="2160"/>
          </w:tcPr>
          <w:p>
            <w:r>
              <w:t>Technical and professional</w:t>
            </w:r>
          </w:p>
        </w:tc>
        <w:tc>
          <w:tcPr>
            <w:tcW w:type="dxa" w:w="2160"/>
          </w:tcPr>
          <w:p>
            <w:r>
              <w:t>17</w:t>
            </w:r>
          </w:p>
        </w:tc>
        <w:tc>
          <w:tcPr>
            <w:tcW w:type="dxa" w:w="2160"/>
          </w:tcPr>
          <w:p>
            <w:r>
              <w:t>58</w:t>
            </w:r>
          </w:p>
        </w:tc>
        <w:tc>
          <w:tcPr>
            <w:tcW w:type="dxa" w:w="2160"/>
          </w:tcPr>
          <w:p>
            <w:r>
              <w:t>Closed</w:t>
            </w:r>
          </w:p>
        </w:tc>
      </w:tr>
    </w:tbl>
    <w:p>
      <w:r>
        <w:t>The two commercial roles are the ones with a regional element in the pay. Fewer than ten clean matches were found for either inside the geography agreed at the autumn working session, and widening the geography to reach a larger set would have bought volume at the cost of comparability. Both are reported with the match count printed beside the band rather than smoothed into it.</w:t>
      </w:r>
    </w:p>
    <w:p>
      <w:pPr>
        <w:pStyle w:val="Heading2"/>
      </w:pPr>
      <w:r>
        <w:t>Changes since the last report</w:t>
      </w:r>
    </w:p>
    <w:p>
      <w:pPr>
        <w:pStyle w:val="ListBullet"/>
      </w:pPr>
      <w:r>
        <w:t>1. The survey cut was refreshed. Two of the subscription sources published after the last report and were re-run in full; the third had not moved and was carried forward with its effective date noted in the method appendix.</w:t>
      </w:r>
    </w:p>
    <w:p>
      <w:pPr>
        <w:pStyle w:val="ListBullet"/>
      </w:pPr>
      <w:r>
        <w:t>2. Every band was reviewed a second time by Sandra Fuentes, who reads matches against the job descriptions and not against the titles. Three matches were rejected on that pass and redrawn.</w:t>
      </w:r>
    </w:p>
    <w:p>
      <w:pPr>
        <w:pStyle w:val="ListBullet"/>
      </w:pPr>
      <w:r>
        <w:t>3. Base pay, target incentive and incentive actually paid are separated in the tables now. The committee asked for that at the autumn session, and it changes how two of the families read.</w:t>
      </w:r>
    </w:p>
    <w:p>
      <w:pPr>
        <w:pStyle w:val="ListBullet"/>
      </w:pPr>
      <w:r>
        <w:t>4. The regional differential was applied to the operations and technical families and not to the executive family, where the comparator market is national. The reasoning sits in the method appendix so that it can be argued with.</w:t>
      </w:r>
    </w:p>
    <w:p>
      <w:pPr>
        <w:pStyle w:val="ListBullet"/>
      </w:pPr>
      <w:r>
        <w:t>5. The internal equity read was completed across the whole scope. It was not in the original plan and was absorbed.</w:t>
      </w:r>
    </w:p>
    <w:p>
      <w:pPr>
        <w:pStyle w:val="Heading2"/>
      </w:pPr>
      <w:r>
        <w:t>What the data shows</w:t>
      </w:r>
    </w:p>
    <w:p>
      <w:r>
        <w:t>The headline is narrower than the committee may be expecting. In three of the five families the current structure sits inside the middle of the market range and needs no action at all. In one it sits below the lower quartile at the senior end, and in one it sits above the upper quartile in a single role.</w:t>
      </w:r>
    </w:p>
    <w:p>
      <w:r>
        <w:t>The structural finding is compression. Two levels in operations are paid inside a band the market keeps separate, which shows up in the file as a promotion carrying no meaningful step in pay. It is the finding most likely to cost the client a good operator in the coming year and the hardest of them to fix inside one budget cycle.</w:t>
      </w:r>
    </w:p>
    <w:p>
      <w:r>
        <w:t>Where the current structure sits above the market, the report says so in the same terms it uses where the structure sits below. The method did not change on either side of the median, so the two directions can be read against each other.</w:t>
      </w:r>
    </w:p>
    <w:p>
      <w:pPr>
        <w:pStyle w:val="Heading2"/>
      </w:pPr>
      <w:r>
        <w:t>Fee</w:t>
      </w:r>
    </w:p>
    <w:p>
      <w:r>
        <w:t>The work has been done inside the fixed fee of $75,000 set in the engagement agreement. No variation has been raised at any point, the internal equity read included.</w:t>
      </w:r>
    </w:p>
    <w:p>
      <w:r>
        <w:t>Expenses are billed at cost and are below the projection carried in the plan. They are itemized on the schedule that travels with the final invoice.</w:t>
      </w:r>
    </w:p>
    <w:p>
      <w:pPr>
        <w:pStyle w:val="Heading2"/>
      </w:pPr>
      <w:r>
        <w:t>Ahead of the closing session</w:t>
      </w:r>
    </w:p>
    <w:p>
      <w:pPr>
        <w:pStyle w:val="ListBullet"/>
      </w:pPr>
      <w:r>
        <w:t>1. Two hours in the room, with the members who will vote on the structure present. A one-hour walkthrough leaves no time for the operations question, and the operations question is the one worth the meeting.</w:t>
      </w:r>
    </w:p>
    <w:p>
      <w:pPr>
        <w:pStyle w:val="ListBullet"/>
      </w:pPr>
      <w:r>
        <w:t>2. A decision on circulation: whether the bands go to line managers with the report or after the structure decision. Sandra Fuentes will put it at the top of the session if it has not been settled before then.</w:t>
      </w:r>
    </w:p>
    <w:p>
      <w:pPr>
        <w:pStyle w:val="ListBullet"/>
      </w:pPr>
      <w:r>
        <w:t>3. The three job descriptions still in draft on the client's side. David Weiss will re-run those matches inside two days of receiving them, and the report can be reissued with the roles included at no charge.</w:t>
      </w:r>
    </w:p>
    <w:p>
      <w:pPr>
        <w:pStyle w:val="Heading2"/>
      </w:pPr>
      <w:r>
        <w:t>What to watch once the report is in hand</w:t>
      </w:r>
    </w:p>
    <w:p>
      <w:pPr>
        <w:pStyle w:val="ListBullet"/>
      </w:pPr>
      <w:r>
        <w:t>1. The data ages on a published cycle. Bands in the deep families hold for roughly a year. The two thin commercial roles should be re-tested before either is used to set an offer.</w:t>
      </w:r>
    </w:p>
    <w:p>
      <w:pPr>
        <w:pStyle w:val="ListBullet"/>
      </w:pPr>
      <w:r>
        <w:t>2. Bands travel faster than decisions do. In our experience, once a benchmarking report has reached line managers ahead of the structure decision, the pay conversation starts inside the business with nobody yet able to answer it.</w:t>
      </w:r>
    </w:p>
    <w:p>
      <w:pPr>
        <w:pStyle w:val="ListBullet"/>
      </w:pPr>
      <w:r>
        <w:t>3. The compression finding will be read as an argument for a general increase. It is not one. It is an argument for separating two levels, and the report is written to make that distinction hard to miss.</w:t>
      </w:r>
    </w:p>
    <w:p>
      <w:r>
        <w:t>The working papers stay on the Hicks-Castillo file here: the source sheets, the match log with every rejected match and the reason it was rejected, and the correspondence with the two publishers about their effective dates. Any single family can be re-run from them without repeating the field work. Sandra Fuentes holds the report and takes the session; questions on method come to the research side.</w:t>
      </w:r>
    </w:p>
    <w:p/>
    <w:p>
      <w:r>
        <w:t>_____________________________</w:t>
      </w:r>
    </w:p>
    <w:p>
      <w:r>
        <w:rPr>
          <w:b/>
        </w:rPr>
        <w:t>David Weiss</w:t>
      </w:r>
    </w:p>
    <w:p>
      <w:r>
        <w:t>Research Associate</w:t>
      </w:r>
    </w:p>
    <w:p>
      <w:r>
        <w:t>Date: November 26, 2023</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Compensation Benchmarking for Hicks-Castillo</dc:title>
  <dc:subject/>
  <dc:creator>David Weiss</dc:creator>
  <cp:keywords/>
  <dc:description>generated by python-docx</dc:description>
  <cp:lastModifiedBy>David Weiss</cp:lastModifiedBy>
  <cp:revision>1</cp:revision>
  <dcterms:created xsi:type="dcterms:W3CDTF">2023-11-26T09:00:00Z</dcterms:created>
  <dcterms:modified xsi:type="dcterms:W3CDTF">2023-11-26T09:00:00Z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