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Interim findings session: compensation benchmarking for Hicks-Castillo</w:t>
      </w:r>
    </w:p>
    <w:p>
      <w:r>
        <w:t>We spent two hours at the client's offices on the first full cut of the data, and the session produced one decision, one instruction to us, and one question the client has taken away to his board. The short of it is that eight of the eleven positions sit inside the range we would expect against the comparison group, two sit below the lower quartile, and one has too little behind it to call either way.</w:t>
      </w:r>
    </w:p>
    <w:p>
      <w:pPr>
        <w:pStyle w:val="Heading2"/>
      </w:pPr>
      <w:r>
        <w:t>Attending</w:t>
      </w:r>
    </w:p>
    <w:p>
      <w:pPr>
        <w:pStyle w:val="ListBullet"/>
      </w:pPr>
      <w:r>
        <w:t>David Mcgee, General Manager, Hicks-Castillo</w:t>
      </w:r>
    </w:p>
    <w:p>
      <w:pPr>
        <w:pStyle w:val="ListBullet"/>
      </w:pPr>
      <w:r>
        <w:t>Sandra Fuentes, Principal, Northgate Talent Partners</w:t>
      </w:r>
    </w:p>
    <w:p>
      <w:pPr>
        <w:pStyle w:val="ListBullet"/>
      </w:pPr>
      <w:r>
        <w:t>David Weiss, Research Associate, Northgate Talent Partners</w:t>
      </w:r>
    </w:p>
    <w:p>
      <w:pPr>
        <w:pStyle w:val="Heading2"/>
      </w:pPr>
      <w:r>
        <w:t>The first cut</w:t>
      </w:r>
    </w:p>
    <w:p>
      <w:r>
        <w:t>David Weiss took the meeting through the eleven positions one at a time, showing base, annual incentive and total cash against the quartiles of the approved comparison group, and setting out for each one how many usable comparators sit behind the figure. We agreed at the start that we would look at the coverage before the number in every case, which slowed the first half of the session down and saved us an argument in the second.</w:t>
      </w:r>
    </w:p>
    <w:p>
      <w:r>
        <w:t>The two positions below the lower quartile are both in operations, and both are roles the company has had trouble filling in the last two years. David Mcgee said that neither result surprised him, and that what he does not yet know is whether the gap sits in the base or in the shape of the package.</w:t>
      </w:r>
    </w:p>
    <w:p>
      <w:r>
        <w:t>That distinction turned out to matter more than the level. The comparison group pays a smaller base and a larger variable element for the same jobs, so a position can read as adequate on total cash and still lose people who are pricing what they are guaranteed. We will present base, incentive and total separately for every position, and the commentary will lead on the split.</w:t>
      </w:r>
    </w:p>
    <w:p>
      <w:pPr>
        <w:pStyle w:val="Heading2"/>
      </w:pPr>
      <w:r>
        <w:t>The position we cannot call</w:t>
      </w:r>
    </w:p>
    <w:p>
      <w:r>
        <w:t>One position has four usable comparators in the purchased data, which will not carry a quartile. I said plainly that we would not publish a range built on four points, and that the choice in front of us was to leave the position uncalled with an explanation or to spend some of the remaining collection time on direct conversations. David Mcgee asked for the conversations. David Weiss put the number needed at six to eight and the time at about a month.</w:t>
      </w:r>
    </w:p>
    <w:p>
      <w:pPr>
        <w:pStyle w:val="Heading2"/>
      </w:pPr>
      <w:r>
        <w:t>The question the client took away</w:t>
      </w:r>
    </w:p>
    <w:p>
      <w:r>
        <w:t>David Mcgee said he cannot put findings in front of his board without a number attached to the remedy, and asked for the cost of bringing the below-range positions up to the median of the group. We agreed to give him that as a single company total with the method shown, and not broken out in any way that identifies the people in those seats. He will confirm which board meeting the findings go to, since the report has to be built backwards from that date.</w:t>
      </w:r>
    </w:p>
    <w:p>
      <w:pPr>
        <w:pStyle w:val="Heading2"/>
      </w:pPr>
      <w:r>
        <w:t>Agreed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David Weiss</w:t>
            </w:r>
          </w:p>
        </w:tc>
        <w:tc>
          <w:tcPr>
            <w:tcW w:type="dxa" w:w="2880"/>
          </w:tcPr>
          <w:p>
            <w:r>
              <w:t>Rebuild the two below-range positions against actual paid incentive as well as target</w:t>
            </w:r>
          </w:p>
        </w:tc>
        <w:tc>
          <w:tcPr>
            <w:tcW w:type="dxa" w:w="2880"/>
          </w:tcPr>
          <w:p>
            <w:r>
              <w:t>Two weeks</w:t>
            </w:r>
          </w:p>
        </w:tc>
      </w:tr>
      <w:tr>
        <w:tc>
          <w:tcPr>
            <w:tcW w:type="dxa" w:w="2880"/>
          </w:tcPr>
          <w:p>
            <w:r>
              <w:t>David Weiss</w:t>
            </w:r>
          </w:p>
        </w:tc>
        <w:tc>
          <w:tcPr>
            <w:tcW w:type="dxa" w:w="2880"/>
          </w:tcPr>
          <w:p>
            <w:r>
              <w:t>Circulate the costing method for the median remedy, for agreement before any figures are produced</w:t>
            </w:r>
          </w:p>
        </w:tc>
        <w:tc>
          <w:tcPr>
            <w:tcW w:type="dxa" w:w="2880"/>
          </w:tcPr>
          <w:p>
            <w:r>
              <w:t>Two weeks</w:t>
            </w:r>
          </w:p>
        </w:tc>
      </w:tr>
      <w:tr>
        <w:tc>
          <w:tcPr>
            <w:tcW w:type="dxa" w:w="2880"/>
          </w:tcPr>
          <w:p>
            <w:r>
              <w:t>Sandra Fuentes</w:t>
            </w:r>
          </w:p>
        </w:tc>
        <w:tc>
          <w:tcPr>
            <w:tcW w:type="dxa" w:w="2880"/>
          </w:tcPr>
          <w:p>
            <w:r>
              <w:t>Arrange and run the direct conversations for the position with thin comparator data</w:t>
            </w:r>
          </w:p>
        </w:tc>
        <w:tc>
          <w:tcPr>
            <w:tcW w:type="dxa" w:w="2880"/>
          </w:tcPr>
          <w:p>
            <w:r>
              <w:t>One month</w:t>
            </w:r>
          </w:p>
        </w:tc>
      </w:tr>
      <w:tr>
        <w:tc>
          <w:tcPr>
            <w:tcW w:type="dxa" w:w="2880"/>
          </w:tcPr>
          <w:p>
            <w:r>
              <w:t>David Mcgee</w:t>
            </w:r>
          </w:p>
        </w:tc>
        <w:tc>
          <w:tcPr>
            <w:tcW w:type="dxa" w:w="2880"/>
          </w:tcPr>
          <w:p>
            <w:r>
              <w:t>Confirm the board date, and give us a contact for the actual paid figures</w:t>
            </w:r>
          </w:p>
        </w:tc>
        <w:tc>
          <w:tcPr>
            <w:tcW w:type="dxa" w:w="2880"/>
          </w:tcPr>
          <w:p>
            <w:r>
              <w:t>One week</w:t>
            </w:r>
          </w:p>
        </w:tc>
      </w:tr>
    </w:tbl>
    <w:p>
      <w:r>
        <w:t>Nothing in the engagement changes on the strength of this session: the approved comparison group stands and the position schedule is unchanged. We will fix a date for the draft findings review once the costing method has been agreed and the direct conversations are underway.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Compensation Benchmarking for Hicks-Castillo</dc:title>
  <dc:subject/>
  <dc:creator>Sandra Fuentes</dc:creator>
  <cp:keywords/>
  <dc:description>generated by python-docx</dc:description>
  <cp:lastModifiedBy>Sandra Fuentes</cp:lastModifiedBy>
  <cp:revision>1</cp:revision>
  <dcterms:created xsi:type="dcterms:W3CDTF">2023-07-03T09:00:00Z</dcterms:created>
  <dcterms:modified xsi:type="dcterms:W3CDTF">2023-07-03T09:00:00Z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