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findings review: compensation benchmarking for Hicks-Castillo</w:t>
      </w:r>
    </w:p>
    <w:p>
      <w:r>
        <w:t>The draft findings were accepted with two changes, and the report can now go to a final version. Most of the ninety minutes went on the costed section, which is the part a board will argue about, and on how much method belongs in the body of a document that non-specialists will read cold.</w:t>
      </w:r>
    </w:p>
    <w:p>
      <w:pPr>
        <w:pStyle w:val="Heading2"/>
      </w:pPr>
      <w:r>
        <w:t>Attendance</w:t>
      </w:r>
    </w:p>
    <w:p>
      <w:pPr>
        <w:pStyle w:val="ListBullet"/>
      </w:pPr>
      <w:r>
        <w:t>Sandra Fuentes, Principal, Northgate Talent Partners</w:t>
      </w:r>
    </w:p>
    <w:p>
      <w:pPr>
        <w:pStyle w:val="ListBullet"/>
      </w:pPr>
      <w:r>
        <w:t>David Weiss, Research Associate, Northgate Talent Partners</w:t>
      </w:r>
    </w:p>
    <w:p>
      <w:pPr>
        <w:pStyle w:val="ListBullet"/>
      </w:pPr>
      <w:r>
        <w:t>David Mcgee, General Manager, Hicks-Castillo</w:t>
      </w:r>
    </w:p>
    <w:p>
      <w:pPr>
        <w:pStyle w:val="Heading2"/>
      </w:pPr>
      <w:r>
        <w:t>Where the findings landed</w:t>
      </w:r>
    </w:p>
    <w:p>
      <w:r>
        <w:t>David Weiss walked the eleven positions in the order they appear in the draft. Nine sit inside the range for the approved comparison group, two sit below the lower quartile, and the position that could not be called on purchased data now carries a range built from eleven direct conversations, with its method and its limits stated in the text. David Mcgee accepted all three readings without challenge, which is a better outcome than it sounds, because the argument about coverage was had in July and did not have to be had again.</w:t>
      </w:r>
    </w:p>
    <w:p>
      <w:pPr>
        <w:pStyle w:val="Heading2"/>
      </w:pPr>
      <w:r>
        <w:t>The costed section</w:t>
      </w:r>
    </w:p>
    <w:p>
      <w:r>
        <w:t>David Mcgee asked for one addition. The draft costs the move of the two below-range positions to the median of the comparison group as a single company total, which is what we agreed in July. He pointed out that the board will ask immediately what the same move does to the positions sitting directly beneath those two, and that a report which does not answer the question will come straight back to us.</w:t>
      </w:r>
    </w:p>
    <w:p>
      <w:r>
        <w:t>We agreed to add a second total covering the immediate knock-on, on a stated assumption about how far down the effect is allowed to run, and to label the two figures plainly enough that nobody can quote one for the other. I said the assumption has to be the client's to set and not ours to guess at, and David Mcgee will send it to us this week.</w:t>
      </w:r>
    </w:p>
    <w:p>
      <w:pPr>
        <w:pStyle w:val="Heading2"/>
      </w:pPr>
      <w:r>
        <w:t>How much method goes in the body</w:t>
      </w:r>
    </w:p>
    <w:p>
      <w:r>
        <w:t>The client asked for the method to come out of the body of the report, on the grounds that a board reading it cold will not get past three pages of survey mechanics. We will move the method and the full crosswalk into appendices. I asked that the body keep a short paragraph on how the comparison group was built, with a direct reference to the appendix, because the first question any board member asks is who their company was compared against, and that answer should be in front of them when they ask it.</w:t>
      </w:r>
    </w:p>
    <w:p>
      <w:pPr>
        <w:pStyle w:val="Heading2"/>
      </w:pPr>
      <w:r>
        <w:t>Naming, again</w:t>
      </w:r>
    </w:p>
    <w:p>
      <w:r>
        <w:t>David Mcgee asked whether the two below-range positions could be identified by title in the board version. In a company of this size a title is a person. We agreed that the board version describes positions by function and level, and that the full schedule, which does carry titles, sits in the appendix that stays with the general manager.</w:t>
      </w:r>
    </w:p>
    <w:p>
      <w:pPr>
        <w:pStyle w:val="Heading2"/>
      </w:pPr>
      <w:r>
        <w:t>Agreed actions</w:t>
      </w:r>
    </w:p>
    <w:p>
      <w:pPr>
        <w:pStyle w:val="ListBullet"/>
      </w:pPr>
      <w:r>
        <w:t>David Weiss to add the knock-on total and relabel both figures, within two weeks of the client's assumption reaching us.</w:t>
      </w:r>
    </w:p>
    <w:p>
      <w:pPr>
        <w:pStyle w:val="ListBullet"/>
      </w:pPr>
      <w:r>
        <w:t>David Weiss to move the method and the crosswalk into appendices, leaving a summary paragraph and a reference in the body.</w:t>
      </w:r>
    </w:p>
    <w:p>
      <w:pPr>
        <w:pStyle w:val="ListBullet"/>
      </w:pPr>
      <w:r>
        <w:t>Sandra Fuentes to draft the two-page board summary and send it to David Mcgee ahead of the full report.</w:t>
      </w:r>
    </w:p>
    <w:p>
      <w:pPr>
        <w:pStyle w:val="ListBullet"/>
      </w:pPr>
      <w:r>
        <w:t>David Mcgee to send the assumption for the knock-on cost, and to confirm the distribution of the board version and who holds the appendix.</w:t>
      </w:r>
    </w:p>
    <w:p>
      <w:pPr>
        <w:pStyle w:val="ListBullet"/>
      </w:pPr>
      <w:r>
        <w:t>Sandra Fuentes to fix the date for the final presentation once the board date is confirmed.</w:t>
      </w:r>
    </w:p>
    <w:p>
      <w:r>
        <w:t>The final report goes to Hicks-Castillo as one document with its appendices bound separately, and we will present it in person instead of sending it over. David Mcgee will confirm the board date this month, and the presentation is set from there.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Compensation Benchmarking for Hicks-Castillo</dc:title>
  <dc:subject/>
  <dc:creator>Sandra Fuentes</dc:creator>
  <cp:keywords/>
  <dc:description>generated by python-docx</dc:description>
  <cp:lastModifiedBy>Sandra Fuentes</cp:lastModifiedBy>
  <cp:revision>1</cp:revision>
  <dcterms:created xsi:type="dcterms:W3CDTF">2023-10-02T09:00:00Z</dcterms:created>
  <dcterms:modified xsi:type="dcterms:W3CDTF">2023-10-02T09:00:00Z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