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DRAFT v1 -- superseded; retained for reference</w:t>
      </w:r>
    </w:p>
    <w:p>
      <w:r>
        <w:t>To: Sandra Fuentes, James Grant</w:t>
        <w:br/>
        <w:t>From: Nicole Donovan</w:t>
        <w:br/>
        <w:t>Re: General counsel search for Howard, Carlson and Tran, opening plan and division of work</w:t>
        <w:br/>
        <w:t>Copy: engagement file</w:t>
      </w:r>
    </w:p>
    <w:p>
      <w:r>
        <w:t>The engagement opened May 9, 2019 and this memo is the record of what we settled in the room afterwards. Amy Alvarez is our client on the assignment and the role reports to her. Everything below is what I will hold the file to until one of you tells me to change it.</w:t>
      </w:r>
    </w:p>
    <w:p>
      <w:pPr>
        <w:pStyle w:val="Heading2"/>
      </w:pPr>
      <w:r>
        <w:t>The objective, stated once</w:t>
      </w:r>
    </w:p>
    <w:p>
      <w:r>
        <w:t>Present a slate of general counsel candidates who can carry the legal work of a business this size without a department behind them. The work going to outside firms today is commercial contracts and employment, and the client wants that judgment inside the business and available in the week it is asked for rather than in the week after.</w:t>
      </w:r>
    </w:p>
    <w:p>
      <w:r>
        <w:t>Two constraints from the intake session shape the map and are worth repeating. Amy Alvarez wants a lawyer who has been the only one in a room of operators and was comfortable there. She also said, without being asked, that a candidate whose first move is to build a team is not the candidate.</w:t>
      </w:r>
    </w:p>
    <w:p>
      <w:pPr>
        <w:pStyle w:val="Heading2"/>
      </w:pPr>
      <w:r>
        <w:t>Who owns which piece</w:t>
      </w:r>
    </w:p>
    <w:p>
      <w:r>
        <w:t>Five pieces, in the order each one unlocks the next. I have put the owner on every line so that nobody has to come and ask me in three weeks.</w:t>
      </w:r>
    </w:p>
    <w:p>
      <w:pPr>
        <w:pStyle w:val="ListBullet"/>
      </w:pPr>
      <w:r>
        <w:t>1. Specification. Sandra Fuentes runs both sessions at the client and drafts from them. I sit in and keep the record. No part of it reaches a candidate before Amy Alvarez has approved the draft in writing.</w:t>
      </w:r>
    </w:p>
    <w:p>
      <w:pPr>
        <w:pStyle w:val="ListBullet"/>
      </w:pPr>
      <w:r>
        <w:t>2. Market map. Mine to build: businesses in the client's revenue band and the two sectors either side of it, and the counsel, deputy counsel, and head of legal titles sitting inside them. I am building it to be defensible rather than long.</w:t>
      </w:r>
    </w:p>
    <w:p>
      <w:pPr>
        <w:pStyle w:val="ListBullet"/>
      </w:pPr>
      <w:r>
        <w:t>3. Long list. Mine to draw off the map and not off our files. James Grant reads it before a single name is approached, and Sandra Fuentes takes it to the client.</w:t>
      </w:r>
    </w:p>
    <w:p>
      <w:pPr>
        <w:pStyle w:val="ListBullet"/>
      </w:pPr>
      <w:r>
        <w:t>4. Approach wording. James Grant owns it. Every approach goes by telephone and by a consultant, and I log who was approached, when, by what route, and what came back.</w:t>
      </w:r>
    </w:p>
    <w:p>
      <w:pPr>
        <w:pStyle w:val="ListBullet"/>
      </w:pPr>
      <w:r>
        <w:t>5. Reporting. A written update to Amy Alvarez every fortnight and a working session at each review point. Sandra Fuentes holds the client relationship. I draft, she signs.</w:t>
      </w:r>
    </w:p>
    <w:p>
      <w:pPr>
        <w:pStyle w:val="Heading2"/>
      </w:pPr>
      <w:r>
        <w:t>Unsettled, and it changes the approach</w:t>
      </w:r>
    </w:p>
    <w:p>
      <w:r>
        <w:t>Two questions are open and both belong in the first specification session. We do not know whether the role carries the compliance work as well as the contracts, and lawyers at this level ask early because the answer decides how much of their week is their own. We also do not know what the client wants said if a candidate's employer hears about the search, which on a search of this kind is a live possibility.</w:t>
      </w:r>
    </w:p>
    <w:p>
      <w:r>
        <w:t>Neither question belongs in an email. I have put both at the top of the agenda for the first session so that they are answered while everyone with a view is in the room.</w:t>
      </w:r>
    </w:p>
    <w:p>
      <w:pPr>
        <w:pStyle w:val="Heading2"/>
      </w:pPr>
      <w:r>
        <w:t>Before the first session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General Counsel Search for Howard, Carlson and Tran (v1)</dc:title>
  <dc:subject/>
  <dc:creator>Nicole Donovan</dc:creator>
  <cp:keywords/>
  <dc:description>generated by python-docx</dc:description>
  <cp:lastModifiedBy>Nicole Donovan</cp:lastModifiedBy>
  <cp:revision>1</cp:revision>
  <dcterms:created xsi:type="dcterms:W3CDTF">2019-04-24T09:00:00Z</dcterms:created>
  <dcterms:modified xsi:type="dcterms:W3CDTF">2019-04-24T09:00:00Z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