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Status Report: General Counsel Search for Howard, Carlson and Tran</w:t>
      </w:r>
    </w:p>
    <w:p>
      <w:r>
        <w:t>The search is at its midpoint and on plan for a slate next month. Fifty-one people have been approached, nine are in live conversation, and five have completed a full assessment interview. Nothing in this period has moved the delivery date.</w:t>
      </w:r>
    </w:p>
    <w:p>
      <w:r>
        <w:t>Prepared by Nicole Donovan, Research Associate. Reviewed by James Grant, who runs the assignment day to day, and approved for release by Sandra Fuentes.</w:t>
      </w:r>
    </w:p>
    <w:p>
      <w:pPr>
        <w:pStyle w:val="Heading2"/>
      </w:pPr>
      <w:r>
        <w:t>Work completed in the period</w:t>
      </w:r>
    </w:p>
    <w:p>
      <w:pPr>
        <w:pStyle w:val="ListBullet"/>
      </w:pPr>
      <w:r>
        <w:t>1. The specification was amended after the working session and re-approved by the client. It now admits lawyers one level below the general counsel title, on the two conditions the client set.</w:t>
      </w:r>
    </w:p>
    <w:p>
      <w:pPr>
        <w:pStyle w:val="ListBullet"/>
      </w:pPr>
      <w:r>
        <w:t>2. A second research pass ran across legal departments at businesses larger than Howard, Carlson and Tran. It produced fourteen prospects. Nine have been approached and four are in conversation.</w:t>
      </w:r>
    </w:p>
    <w:p>
      <w:pPr>
        <w:pStyle w:val="ListBullet"/>
      </w:pPr>
      <w:r>
        <w:t>3. Five assessment interviews were completed in person by James Grant. Each has a written appraisal on file. Sandra Fuentes read every appraisal before it was filed.</w:t>
      </w:r>
    </w:p>
    <w:p>
      <w:pPr>
        <w:pStyle w:val="ListBullet"/>
      </w:pPr>
      <w:r>
        <w:t>4. Two candidates withdrew. One took an internal promotion. One decided against a single-lawyer function after a second conversation. Both were on the original brief and neither on the widened one.</w:t>
      </w:r>
    </w:p>
    <w:p>
      <w:pPr>
        <w:pStyle w:val="ListBullet"/>
      </w:pPr>
      <w:r>
        <w:t>5. The interview sequence was fixed with the client: the General Manager first, then the two operating heads, then a decision. Every meeting is held away from the client's premises.</w:t>
      </w:r>
    </w:p>
    <w:p>
      <w:pPr>
        <w:pStyle w:val="ListBullet"/>
      </w:pPr>
      <w:r>
        <w:t>6. A reference protocol was issued to the file. No reference is taken until the candidate has consented in writing.</w:t>
      </w:r>
    </w:p>
    <w:p>
      <w:pPr>
        <w:pStyle w:val="Heading2"/>
      </w:pPr>
      <w:r>
        <w:t>Position against the plan</w:t>
      </w:r>
    </w:p>
    <w:p>
      <w:r>
        <w:t>The search sits where it should sit at the halfway mark. Nine live conversations is sufficient to produce the slate of four the client has asked for, with margin for one further withdrawal and not for two.</w:t>
      </w:r>
    </w:p>
    <w:p>
      <w:r>
        <w:t>The widened brief is carrying the search. Six of the nine live conversations are with people who do not yet hold the title. That change came out of the working session and it is why the pipeline recovered inside three weeks of the two withdrawals.</w:t>
      </w:r>
    </w:p>
    <w:p>
      <w:r>
        <w:t>Yield is the figure to watch. On the original brief, one approach in nine produced a conversation. On the widened brief it is running at one in three, and the conversations mature faster because the people in them want the step.</w:t>
      </w:r>
    </w:p>
    <w:p>
      <w:pPr>
        <w:pStyle w:val="Heading2"/>
      </w:pPr>
      <w:r>
        <w:t>Planned work to the slate</w:t>
      </w:r>
    </w:p>
    <w:p>
      <w:pPr>
        <w:pStyle w:val="ListBullet"/>
      </w:pPr>
      <w:r>
        <w:t>1. Four remaining assessment interviews, all scheduled inside the next three weeks. James Grant takes each of them in person.</w:t>
      </w:r>
    </w:p>
    <w:p>
      <w:pPr>
        <w:pStyle w:val="ListBullet"/>
      </w:pPr>
      <w:r>
        <w:t>2. Written appraisals for every candidate reaching the slate. Each addresses the client's condition directly: what this candidate has run with nobody more senior above them.</w:t>
      </w:r>
    </w:p>
    <w:p>
      <w:pPr>
        <w:pStyle w:val="ListBullet"/>
      </w:pPr>
      <w:r>
        <w:t>3. Slate presentation next month, in person, two hours, at the client's offices or a neutral room as the client prefers.</w:t>
      </w:r>
    </w:p>
    <w:p>
      <w:pPr>
        <w:pStyle w:val="ListBullet"/>
      </w:pPr>
      <w:r>
        <w:t>4. References on the finalists once the client has selected them, and two additional references for any finalist who has not held the title.</w:t>
      </w:r>
    </w:p>
    <w:p>
      <w:pPr>
        <w:pStyle w:val="ListBullet"/>
      </w:pPr>
      <w:r>
        <w:t>5. Offer support through to acceptance. We stay on the assignment until the candidate has resigned and the notice period is agreed.</w:t>
      </w:r>
    </w:p>
    <w:p>
      <w:pPr>
        <w:pStyle w:val="Heading2"/>
      </w:pPr>
      <w:r>
        <w:t>Fee and expenses</w:t>
      </w:r>
    </w:p>
    <w:p>
      <w:r>
        <w:t>The assignment carries a fixed fee of $62,000, set at the outset and billed in three parts. The first part was invoiced on commencement and has been settled.</w:t>
      </w:r>
    </w:p>
    <w:p>
      <w:r>
        <w:t>The second part falls due on delivery of the slate. The client should expect that invoice next month and none before it. The third follows acceptance.</w:t>
      </w:r>
    </w:p>
    <w:p>
      <w:r>
        <w:t>Expenses sit outside the fee, are billed at cost, and are itemized on the face of each invoice. They are under budget for the period. Nothing above the threshold set in the agreement has been incurred without the client's prior approval.</w:t>
      </w:r>
    </w:p>
    <w:p>
      <w:pPr>
        <w:pStyle w:val="Heading2"/>
      </w:pPr>
      <w:r>
        <w:t>Risks on the search</w:t>
      </w:r>
    </w:p>
    <w:p>
      <w:pPr>
        <w:pStyle w:val="ListBullet"/>
      </w:pPr>
      <w:r>
        <w:t>1. Slate depth. Two of the five assessed candidates are in a process elsewhere. If both close, the slate is three and the presentation moves back a fortnight. James Grant reports either outcome the day it reaches him and not at the next report.</w:t>
      </w:r>
    </w:p>
    <w:p>
      <w:pPr>
        <w:pStyle w:val="ListBullet"/>
      </w:pPr>
      <w:r>
        <w:t>2. Counteroffer. Three of the nine matter enough to their present employers that a counteroffer should be assumed. That work begins during references, while there is still something to be done about it.</w:t>
      </w:r>
    </w:p>
    <w:p>
      <w:pPr>
        <w:pStyle w:val="ListBullet"/>
      </w:pPr>
      <w:r>
        <w:t>3. The holiday period. Interview availability thins on both sides from the middle of next month. Sandra Fuentes has already asked the client for dates so the diaries are marked before they fill.</w:t>
      </w:r>
    </w:p>
    <w:p>
      <w:pPr>
        <w:pStyle w:val="ListBullet"/>
      </w:pPr>
      <w:r>
        <w:t>4. Confidentiality. Two candidates have asked directly whether their names circulate inside the client's business. The answer given, and the practice, is that they do not: candidates are described in writing by their current function and the size of the department behind them, and no name leaves this firm before the candidate agrees to it.</w:t>
      </w:r>
    </w:p>
    <w:p>
      <w:pPr>
        <w:pStyle w:val="Heading2"/>
      </w:pPr>
      <w:r>
        <w:t>Asked of the client</w:t>
      </w:r>
    </w:p>
    <w:p>
      <w:pPr>
        <w:pStyle w:val="ListBullet"/>
      </w:pPr>
      <w:r>
        <w:t>1. Two hours in the diary next month for the slate presentation. Nicole Donovan will put three windows to the client's office this week.</w:t>
      </w:r>
    </w:p>
    <w:p>
      <w:pPr>
        <w:pStyle w:val="ListBullet"/>
      </w:pPr>
      <w:r>
        <w:t>2. The two operating heads who will meet finalists, named, so the interview schedule can be built around their calendars rather than assembled after the fact.</w:t>
      </w:r>
    </w:p>
    <w:p>
      <w:pPr>
        <w:pStyle w:val="ListBullet"/>
      </w:pPr>
      <w:r>
        <w:t>3. A decision on whether a candidate who would relocate is acceptable. It affects two of the nine conversations and is the last open question in the brief.</w:t>
      </w:r>
    </w:p>
    <w:p>
      <w:r>
        <w:t>Circulated to the client's office. Copies on file with Sandra Fuentes and James Grant. The next report follows in four weeks, sooner if something happens that will not keep.</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Report: General Counsel Search for Howard, Carlson and Tran</dc:title>
  <dc:subject/>
  <dc:creator>Nicole Donovan</dc:creator>
  <cp:keywords/>
  <dc:description>generated by python-docx</dc:description>
  <cp:lastModifiedBy>Nicole Donovan</cp:lastModifiedBy>
  <cp:revision>1</cp:revision>
  <dcterms:created xsi:type="dcterms:W3CDTF">2019-07-06T09:00:00Z</dcterms:created>
  <dcterms:modified xsi:type="dcterms:W3CDTF">2019-07-06T09:00:00Z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