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Jeffrey Patterson; James Grant</w:t>
        <w:br/>
        <w:t>Cc: James Weiss</w:t>
        <w:br/>
        <w:t>From: Sandra Fuentes, Principal</w:t>
        <w:br/>
        <w:t>Re: CFO search for Roach, Moss and Hall -- how we are running it</w:t>
      </w:r>
    </w:p>
    <w:p>
      <w:r>
        <w:t>The specification will decide this search, not the length of the list, so I want the first two weeks spent earning a document that Jason Myers and the board members who sit in on the interviews would all recognize as a description of the job they are actually hiring for, and I would like the rest of this plan to bend around that. Our engagement runs from August 27, 2015 and is scoped at about three months. Jason Myers, the chief operating officer at Roach, Moss and Hall, is our contact for everything on their side, which means scheduling, feedback on candidates, and any decision we need from them, and it also means he should not be hearing about this search from three of us in three different weeks.</w:t>
      </w:r>
    </w:p>
    <w:p>
      <w:pPr>
        <w:pStyle w:val="Heading2"/>
      </w:pPr>
      <w:r>
        <w:t>What each of us is carrying</w:t>
      </w:r>
    </w:p>
    <w:p>
      <w:pPr>
        <w:pStyle w:val="ListBullet"/>
      </w:pPr>
      <w:r>
        <w:t>1. The specification and the client relationship are mine. I will run the briefing sessions with their leadership, write the draft, and take it back for correction as many times as it needs, and nothing goes into the market until Jason Myers has signed it off.</w:t>
      </w:r>
    </w:p>
    <w:p>
      <w:pPr>
        <w:pStyle w:val="ListBullet"/>
      </w:pPr>
      <w:r>
        <w:t>2. Research and the target list belong to Jeffrey Patterson. I want the company map agreed with me before any individual is worked up, with the reason each company is on it written down beside it, because the reason is the part we will be asked to defend the first time a name comes back to us from their side.</w:t>
      </w:r>
    </w:p>
    <w:p>
      <w:pPr>
        <w:pStyle w:val="ListBullet"/>
      </w:pPr>
      <w:r>
        <w:t>3. Process and the calendar are James Grant's: interview slots, candidate travel, and the running file, and from the point the first candidates are meeting us in person he sits with me on the assessment interviews, so that two of us have met everyone who reaches the slate.</w:t>
      </w:r>
    </w:p>
    <w:p>
      <w:pPr>
        <w:pStyle w:val="ListBullet"/>
      </w:pPr>
      <w:r>
        <w:t>4. The engagement administration sits with James Weiss, which is the countersigned letter, the engagement code, and the billing schedule, all of which he needs closed out before the first cycle.</w:t>
      </w:r>
    </w:p>
    <w:p>
      <w:r>
        <w:t>These four are not four projects running side by side. The specification disciplines the research, the research decides who we approach, and the calendar only becomes real once there is somebody to put in it. The temptation on a search with a three-month shape is to start working names in the first week so that the client can see movement, and a list built before the specification is settled has to be built a second time.</w:t>
      </w:r>
    </w:p>
    <w:p>
      <w:r>
        <w:t>There is one thing I want tested before the specification session. The role as their leadership describes it asks for someone who has sat in the chair at a company twice their size and who will also be hands-on through a close, and at the compensation they have in mind those two things do not often live in the same person. Jeffrey Patterson, bring me whatever the map says about that. If the market disagrees with the brief, the specification session is where we have the standing to say so, and I intend to use it.</w:t>
      </w:r>
    </w:p>
    <w:p>
      <w:pPr>
        <w:pStyle w:val="Heading2"/>
      </w:pPr>
      <w:r>
        <w:t>The first two weeks</w:t>
      </w:r>
    </w:p>
    <w:p>
      <w:r>
        <w:t>Before the specification session there are three things I need, and I am asking now so that nobody is doing them the night before. Jeffrey Patterson, a first cut of the company map, deliberately broad, with the sectors you think are adjacent marked as such so that we can argue about them properly. James Grant, the calendar: I want their leadership's availability and the board members' availability held for two windows, one for the specification session and one for the first slate review. James Weiss, confirmation that the letter is back countersigned before we spend anything against the engagement.</w:t>
      </w:r>
    </w:p>
    <w:p>
      <w:r>
        <w:t>One last thing, old ground, but it belongs at the start of a search. We describe candidates by their current role and never by name in anything that leaves this office, including notes to their side, until a candidate has agreed to meet them. That habit is the reason people who are not looking still take our calls.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CFO Search for Roach, Moss and Hall</dc:title>
  <dc:subject/>
  <dc:creator>Sandra Fuentes</dc:creator>
  <cp:keywords/>
  <dc:description>generated by python-docx</dc:description>
  <cp:lastModifiedBy>Sandra Fuentes</cp:lastModifiedBy>
  <cp:revision>1</cp:revision>
  <dcterms:created xsi:type="dcterms:W3CDTF">2015-08-30T09:00:00Z</dcterms:created>
  <dcterms:modified xsi:type="dcterms:W3CDTF">2015-08-30T09:00:00Z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